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00E1BD" w14:textId="27F5E5B4" w:rsidR="00B2082E" w:rsidRPr="00200836" w:rsidRDefault="00685FDB" w:rsidP="00542174">
      <w:pPr>
        <w:spacing w:after="80" w:line="240" w:lineRule="auto"/>
        <w:rPr>
          <w:rFonts w:ascii="Candara" w:eastAsiaTheme="majorEastAsia" w:hAnsi="Candara" w:cstheme="majorBidi"/>
          <w:color w:val="2F5496" w:themeColor="accent1" w:themeShade="BF"/>
          <w:sz w:val="32"/>
          <w:szCs w:val="32"/>
        </w:rPr>
      </w:pPr>
      <w:bookmarkStart w:id="0" w:name="_GoBack"/>
      <w:bookmarkEnd w:id="0"/>
      <w:r>
        <w:rPr>
          <w:rFonts w:ascii="Candara" w:eastAsiaTheme="majorEastAsia" w:hAnsi="Candara" w:cstheme="majorBidi"/>
          <w:color w:val="2F5496" w:themeColor="accent1" w:themeShade="BF"/>
          <w:sz w:val="32"/>
          <w:szCs w:val="32"/>
        </w:rPr>
        <w:t>How will Dropbox’s upcoming initial public offering of its stock impact its balance sheet</w:t>
      </w:r>
      <w:r w:rsidR="00200836" w:rsidRPr="00200836">
        <w:rPr>
          <w:rFonts w:ascii="Candara" w:eastAsiaTheme="majorEastAsia" w:hAnsi="Candara" w:cstheme="majorBidi"/>
          <w:color w:val="2F5496" w:themeColor="accent1" w:themeShade="BF"/>
          <w:sz w:val="32"/>
          <w:szCs w:val="32"/>
        </w:rPr>
        <w:t>?</w:t>
      </w:r>
    </w:p>
    <w:p w14:paraId="45FAEB1C" w14:textId="77777777" w:rsidR="00200836" w:rsidRPr="00200836" w:rsidRDefault="00200836" w:rsidP="00542174">
      <w:pPr>
        <w:spacing w:after="80" w:line="240" w:lineRule="auto"/>
        <w:rPr>
          <w:rFonts w:ascii="Candara" w:eastAsiaTheme="majorEastAsia" w:hAnsi="Candara" w:cstheme="majorBidi"/>
          <w:b/>
          <w:color w:val="2F5496" w:themeColor="accent1" w:themeShade="BF"/>
          <w:sz w:val="26"/>
          <w:szCs w:val="26"/>
        </w:rPr>
      </w:pPr>
    </w:p>
    <w:p w14:paraId="016C7505" w14:textId="4A6916BD" w:rsidR="00685FDB" w:rsidRDefault="000B3B19" w:rsidP="00685FDB">
      <w:pPr>
        <w:spacing w:after="220" w:line="276" w:lineRule="auto"/>
        <w:jc w:val="both"/>
        <w:rPr>
          <w:rFonts w:ascii="Candara" w:hAnsi="Candara"/>
        </w:rPr>
      </w:pPr>
      <w:hyperlink r:id="rId7" w:history="1">
        <w:r w:rsidR="000F664B" w:rsidRPr="00D9046E">
          <w:rPr>
            <w:rStyle w:val="Hyperlink"/>
            <w:rFonts w:ascii="Candara" w:hAnsi="Candara"/>
          </w:rPr>
          <w:t>Dropbox</w:t>
        </w:r>
        <w:r w:rsidR="00D9046E" w:rsidRPr="00D9046E">
          <w:rPr>
            <w:rStyle w:val="Hyperlink"/>
            <w:rFonts w:ascii="Candara" w:hAnsi="Candara"/>
          </w:rPr>
          <w:t>, Inc.</w:t>
        </w:r>
      </w:hyperlink>
      <w:r w:rsidR="000F664B">
        <w:rPr>
          <w:rFonts w:ascii="Candara" w:hAnsi="Candara"/>
        </w:rPr>
        <w:t xml:space="preserve"> </w:t>
      </w:r>
      <w:r w:rsidR="00D9046E">
        <w:rPr>
          <w:rFonts w:ascii="Candara" w:hAnsi="Candara"/>
        </w:rPr>
        <w:t xml:space="preserve">has filed </w:t>
      </w:r>
      <w:r w:rsidR="006C375E">
        <w:rPr>
          <w:rFonts w:ascii="Candara" w:hAnsi="Candara"/>
        </w:rPr>
        <w:t>an SEC</w:t>
      </w:r>
      <w:r w:rsidR="00D9046E">
        <w:rPr>
          <w:rFonts w:ascii="Candara" w:hAnsi="Candara"/>
        </w:rPr>
        <w:t xml:space="preserve"> </w:t>
      </w:r>
      <w:hyperlink r:id="rId8" w:history="1">
        <w:r w:rsidR="00D9046E" w:rsidRPr="00D9046E">
          <w:rPr>
            <w:rStyle w:val="Hyperlink"/>
            <w:rFonts w:ascii="Candara" w:hAnsi="Candara"/>
          </w:rPr>
          <w:t>report</w:t>
        </w:r>
      </w:hyperlink>
      <w:r w:rsidR="00D9046E">
        <w:rPr>
          <w:rFonts w:ascii="Candara" w:hAnsi="Candara"/>
        </w:rPr>
        <w:t xml:space="preserve">, indicating that it plans to raise $500 million through its Initial Public Offering (IPO) sometime in 2018. It will be issuing </w:t>
      </w:r>
      <w:r w:rsidR="006C375E">
        <w:rPr>
          <w:rFonts w:ascii="Candara" w:hAnsi="Candara"/>
        </w:rPr>
        <w:t>co</w:t>
      </w:r>
      <w:r w:rsidR="00D9046E">
        <w:rPr>
          <w:rFonts w:ascii="Candara" w:hAnsi="Candara"/>
        </w:rPr>
        <w:t>mmon stock</w:t>
      </w:r>
      <w:r w:rsidR="00AA38D7">
        <w:rPr>
          <w:rFonts w:ascii="Candara" w:hAnsi="Candara"/>
        </w:rPr>
        <w:t>.</w:t>
      </w:r>
      <w:r w:rsidR="006C375E">
        <w:rPr>
          <w:rFonts w:ascii="Candara" w:hAnsi="Candara"/>
        </w:rPr>
        <w:t xml:space="preserve"> </w:t>
      </w:r>
      <w:r w:rsidR="00D7337A">
        <w:rPr>
          <w:rFonts w:ascii="Candara" w:hAnsi="Candara"/>
        </w:rPr>
        <w:t xml:space="preserve"> Dropbox was started in 2007 and is designed to allow people to have their files anywhere they are. There are over 500 million registered Dropbox users worldwide. </w:t>
      </w:r>
      <w:r w:rsidR="006C375E">
        <w:rPr>
          <w:rFonts w:ascii="Candara" w:hAnsi="Candara"/>
        </w:rPr>
        <w:t>When Dropbox makes its IPO, its existing preferred stock will be converted into common stock. To follow is Dropbox’s pro forma balance sheet as of December 31, 2017. The “pro forma” refers to the stockholders’ equity section; this condensed and adapted balance sheet shows what Dropbox’s stockholders’ equity section would have looked like at December 31, 2017, if all of its preferred stock had already been converted to common stock.</w:t>
      </w:r>
    </w:p>
    <w:tbl>
      <w:tblPr>
        <w:tblW w:w="5760" w:type="dxa"/>
        <w:tblLook w:val="04A0" w:firstRow="1" w:lastRow="0" w:firstColumn="1" w:lastColumn="0" w:noHBand="0" w:noVBand="1"/>
      </w:tblPr>
      <w:tblGrid>
        <w:gridCol w:w="4277"/>
        <w:gridCol w:w="1483"/>
      </w:tblGrid>
      <w:tr w:rsidR="006C375E" w:rsidRPr="006C375E" w14:paraId="069756BA" w14:textId="77777777" w:rsidTr="006C375E">
        <w:trPr>
          <w:trHeight w:val="300"/>
        </w:trPr>
        <w:tc>
          <w:tcPr>
            <w:tcW w:w="5760" w:type="dxa"/>
            <w:gridSpan w:val="2"/>
            <w:tcBorders>
              <w:top w:val="nil"/>
              <w:left w:val="nil"/>
              <w:bottom w:val="nil"/>
              <w:right w:val="nil"/>
            </w:tcBorders>
            <w:shd w:val="clear" w:color="auto" w:fill="auto"/>
            <w:noWrap/>
            <w:vAlign w:val="bottom"/>
            <w:hideMark/>
          </w:tcPr>
          <w:p w14:paraId="1CBC806B" w14:textId="77777777" w:rsidR="006C375E" w:rsidRPr="006C375E" w:rsidRDefault="006C375E" w:rsidP="006C375E">
            <w:pPr>
              <w:spacing w:after="0" w:line="240" w:lineRule="auto"/>
              <w:jc w:val="center"/>
              <w:rPr>
                <w:rFonts w:ascii="Calibri" w:eastAsia="Times New Roman" w:hAnsi="Calibri" w:cs="Calibri"/>
                <w:color w:val="000000"/>
              </w:rPr>
            </w:pPr>
            <w:r w:rsidRPr="006C375E">
              <w:rPr>
                <w:rFonts w:ascii="Calibri" w:eastAsia="Times New Roman" w:hAnsi="Calibri" w:cs="Calibri"/>
                <w:color w:val="000000"/>
              </w:rPr>
              <w:t>Dropbox, Inc.</w:t>
            </w:r>
          </w:p>
        </w:tc>
      </w:tr>
      <w:tr w:rsidR="006C375E" w:rsidRPr="006C375E" w14:paraId="0E593D45" w14:textId="77777777" w:rsidTr="006C375E">
        <w:trPr>
          <w:trHeight w:val="300"/>
        </w:trPr>
        <w:tc>
          <w:tcPr>
            <w:tcW w:w="5760" w:type="dxa"/>
            <w:gridSpan w:val="2"/>
            <w:tcBorders>
              <w:top w:val="nil"/>
              <w:left w:val="nil"/>
              <w:bottom w:val="nil"/>
              <w:right w:val="nil"/>
            </w:tcBorders>
            <w:shd w:val="clear" w:color="auto" w:fill="auto"/>
            <w:noWrap/>
            <w:vAlign w:val="bottom"/>
            <w:hideMark/>
          </w:tcPr>
          <w:p w14:paraId="76E6C67A" w14:textId="77777777" w:rsidR="006C375E" w:rsidRPr="006C375E" w:rsidRDefault="006C375E" w:rsidP="006C375E">
            <w:pPr>
              <w:spacing w:after="0" w:line="240" w:lineRule="auto"/>
              <w:jc w:val="center"/>
              <w:rPr>
                <w:rFonts w:ascii="Calibri" w:eastAsia="Times New Roman" w:hAnsi="Calibri" w:cs="Calibri"/>
                <w:color w:val="000000"/>
              </w:rPr>
            </w:pPr>
            <w:r w:rsidRPr="006C375E">
              <w:rPr>
                <w:rFonts w:ascii="Calibri" w:eastAsia="Times New Roman" w:hAnsi="Calibri" w:cs="Calibri"/>
                <w:color w:val="000000"/>
              </w:rPr>
              <w:t>Consolidated Balance Sheet</w:t>
            </w:r>
          </w:p>
        </w:tc>
      </w:tr>
      <w:tr w:rsidR="006C375E" w:rsidRPr="006C375E" w14:paraId="07DF641E" w14:textId="77777777" w:rsidTr="006C375E">
        <w:trPr>
          <w:trHeight w:val="300"/>
        </w:trPr>
        <w:tc>
          <w:tcPr>
            <w:tcW w:w="5760" w:type="dxa"/>
            <w:gridSpan w:val="2"/>
            <w:tcBorders>
              <w:top w:val="nil"/>
              <w:left w:val="nil"/>
              <w:bottom w:val="nil"/>
              <w:right w:val="nil"/>
            </w:tcBorders>
            <w:shd w:val="clear" w:color="auto" w:fill="auto"/>
            <w:noWrap/>
            <w:vAlign w:val="bottom"/>
            <w:hideMark/>
          </w:tcPr>
          <w:p w14:paraId="109038CA" w14:textId="77777777" w:rsidR="006C375E" w:rsidRPr="006C375E" w:rsidRDefault="006C375E" w:rsidP="006C375E">
            <w:pPr>
              <w:spacing w:after="0" w:line="240" w:lineRule="auto"/>
              <w:jc w:val="center"/>
              <w:rPr>
                <w:rFonts w:ascii="Calibri" w:eastAsia="Times New Roman" w:hAnsi="Calibri" w:cs="Calibri"/>
                <w:color w:val="000000"/>
              </w:rPr>
            </w:pPr>
            <w:r w:rsidRPr="006C375E">
              <w:rPr>
                <w:rFonts w:ascii="Calibri" w:eastAsia="Times New Roman" w:hAnsi="Calibri" w:cs="Calibri"/>
                <w:color w:val="000000"/>
              </w:rPr>
              <w:t>Condensed and adapted for educational use only</w:t>
            </w:r>
          </w:p>
        </w:tc>
      </w:tr>
      <w:tr w:rsidR="006C375E" w:rsidRPr="006C375E" w14:paraId="37B1C382" w14:textId="77777777" w:rsidTr="006C375E">
        <w:trPr>
          <w:trHeight w:val="300"/>
        </w:trPr>
        <w:tc>
          <w:tcPr>
            <w:tcW w:w="5760" w:type="dxa"/>
            <w:gridSpan w:val="2"/>
            <w:tcBorders>
              <w:top w:val="nil"/>
              <w:left w:val="nil"/>
              <w:bottom w:val="nil"/>
              <w:right w:val="nil"/>
            </w:tcBorders>
            <w:shd w:val="clear" w:color="auto" w:fill="auto"/>
            <w:noWrap/>
            <w:vAlign w:val="bottom"/>
            <w:hideMark/>
          </w:tcPr>
          <w:p w14:paraId="2010985C" w14:textId="77777777" w:rsidR="006C375E" w:rsidRPr="006C375E" w:rsidRDefault="006C375E" w:rsidP="006C375E">
            <w:pPr>
              <w:spacing w:after="0" w:line="240" w:lineRule="auto"/>
              <w:jc w:val="center"/>
              <w:rPr>
                <w:rFonts w:ascii="Calibri" w:eastAsia="Times New Roman" w:hAnsi="Calibri" w:cs="Calibri"/>
                <w:color w:val="000000"/>
              </w:rPr>
            </w:pPr>
            <w:r w:rsidRPr="006C375E">
              <w:rPr>
                <w:rFonts w:ascii="Calibri" w:eastAsia="Times New Roman" w:hAnsi="Calibri" w:cs="Calibri"/>
                <w:color w:val="000000"/>
              </w:rPr>
              <w:t>As of December 31, 2017</w:t>
            </w:r>
          </w:p>
        </w:tc>
      </w:tr>
      <w:tr w:rsidR="006C375E" w:rsidRPr="006C375E" w14:paraId="26AC8BA2" w14:textId="77777777" w:rsidTr="006C375E">
        <w:trPr>
          <w:trHeight w:val="300"/>
        </w:trPr>
        <w:tc>
          <w:tcPr>
            <w:tcW w:w="4277" w:type="dxa"/>
            <w:tcBorders>
              <w:top w:val="nil"/>
              <w:left w:val="nil"/>
              <w:bottom w:val="nil"/>
              <w:right w:val="nil"/>
            </w:tcBorders>
            <w:shd w:val="clear" w:color="auto" w:fill="auto"/>
            <w:noWrap/>
            <w:vAlign w:val="bottom"/>
            <w:hideMark/>
          </w:tcPr>
          <w:p w14:paraId="39A63402" w14:textId="77777777" w:rsidR="006C375E" w:rsidRPr="006C375E" w:rsidRDefault="006C375E" w:rsidP="006C375E">
            <w:pPr>
              <w:spacing w:after="0" w:line="240" w:lineRule="auto"/>
              <w:jc w:val="center"/>
              <w:rPr>
                <w:rFonts w:ascii="Calibri" w:eastAsia="Times New Roman" w:hAnsi="Calibri" w:cs="Calibri"/>
                <w:color w:val="000000"/>
              </w:rPr>
            </w:pPr>
          </w:p>
        </w:tc>
        <w:tc>
          <w:tcPr>
            <w:tcW w:w="1483" w:type="dxa"/>
            <w:tcBorders>
              <w:top w:val="nil"/>
              <w:left w:val="nil"/>
              <w:bottom w:val="nil"/>
              <w:right w:val="nil"/>
            </w:tcBorders>
            <w:shd w:val="clear" w:color="auto" w:fill="auto"/>
            <w:noWrap/>
            <w:vAlign w:val="bottom"/>
            <w:hideMark/>
          </w:tcPr>
          <w:p w14:paraId="38260C24" w14:textId="77777777" w:rsidR="006C375E" w:rsidRPr="006C375E" w:rsidRDefault="006C375E" w:rsidP="006C375E">
            <w:pPr>
              <w:spacing w:after="0" w:line="240" w:lineRule="auto"/>
              <w:jc w:val="center"/>
              <w:rPr>
                <w:rFonts w:ascii="Calibri" w:eastAsia="Times New Roman" w:hAnsi="Calibri" w:cs="Calibri"/>
                <w:i/>
                <w:iCs/>
                <w:color w:val="000000"/>
              </w:rPr>
            </w:pPr>
            <w:r w:rsidRPr="006C375E">
              <w:rPr>
                <w:rFonts w:ascii="Calibri" w:eastAsia="Times New Roman" w:hAnsi="Calibri" w:cs="Calibri"/>
                <w:i/>
                <w:iCs/>
                <w:color w:val="000000"/>
              </w:rPr>
              <w:t>In millions</w:t>
            </w:r>
          </w:p>
        </w:tc>
      </w:tr>
      <w:tr w:rsidR="006C375E" w:rsidRPr="006C375E" w14:paraId="0374F0D4" w14:textId="77777777" w:rsidTr="006C375E">
        <w:trPr>
          <w:trHeight w:val="300"/>
        </w:trPr>
        <w:tc>
          <w:tcPr>
            <w:tcW w:w="4277" w:type="dxa"/>
            <w:tcBorders>
              <w:top w:val="nil"/>
              <w:left w:val="nil"/>
              <w:bottom w:val="nil"/>
              <w:right w:val="nil"/>
            </w:tcBorders>
            <w:shd w:val="clear" w:color="auto" w:fill="auto"/>
            <w:noWrap/>
            <w:vAlign w:val="bottom"/>
            <w:hideMark/>
          </w:tcPr>
          <w:p w14:paraId="4475956D"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Assets</w:t>
            </w:r>
          </w:p>
        </w:tc>
        <w:tc>
          <w:tcPr>
            <w:tcW w:w="1483" w:type="dxa"/>
            <w:tcBorders>
              <w:top w:val="nil"/>
              <w:left w:val="nil"/>
              <w:bottom w:val="nil"/>
              <w:right w:val="nil"/>
            </w:tcBorders>
            <w:shd w:val="clear" w:color="auto" w:fill="auto"/>
            <w:noWrap/>
            <w:vAlign w:val="bottom"/>
            <w:hideMark/>
          </w:tcPr>
          <w:p w14:paraId="6DF24CB0" w14:textId="77777777" w:rsidR="006C375E" w:rsidRPr="006C375E" w:rsidRDefault="006C375E" w:rsidP="006C375E">
            <w:pPr>
              <w:spacing w:after="0" w:line="240" w:lineRule="auto"/>
              <w:rPr>
                <w:rFonts w:ascii="Calibri" w:eastAsia="Times New Roman" w:hAnsi="Calibri" w:cs="Calibri"/>
                <w:color w:val="000000"/>
              </w:rPr>
            </w:pPr>
          </w:p>
        </w:tc>
      </w:tr>
      <w:tr w:rsidR="006C375E" w:rsidRPr="006C375E" w14:paraId="5C1AF9AF" w14:textId="77777777" w:rsidTr="006C375E">
        <w:trPr>
          <w:trHeight w:val="300"/>
        </w:trPr>
        <w:tc>
          <w:tcPr>
            <w:tcW w:w="4277" w:type="dxa"/>
            <w:tcBorders>
              <w:top w:val="nil"/>
              <w:left w:val="nil"/>
              <w:bottom w:val="nil"/>
              <w:right w:val="nil"/>
            </w:tcBorders>
            <w:shd w:val="clear" w:color="auto" w:fill="auto"/>
            <w:noWrap/>
            <w:vAlign w:val="bottom"/>
            <w:hideMark/>
          </w:tcPr>
          <w:p w14:paraId="3847B647"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Current assets</w:t>
            </w:r>
          </w:p>
        </w:tc>
        <w:tc>
          <w:tcPr>
            <w:tcW w:w="1483" w:type="dxa"/>
            <w:tcBorders>
              <w:top w:val="nil"/>
              <w:left w:val="nil"/>
              <w:bottom w:val="nil"/>
              <w:right w:val="nil"/>
            </w:tcBorders>
            <w:shd w:val="clear" w:color="auto" w:fill="auto"/>
            <w:noWrap/>
            <w:vAlign w:val="bottom"/>
            <w:hideMark/>
          </w:tcPr>
          <w:p w14:paraId="3228A3A7"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 xml:space="preserve"> $        518.1 </w:t>
            </w:r>
          </w:p>
        </w:tc>
      </w:tr>
      <w:tr w:rsidR="006C375E" w:rsidRPr="006C375E" w14:paraId="24939071" w14:textId="77777777" w:rsidTr="006C375E">
        <w:trPr>
          <w:trHeight w:val="300"/>
        </w:trPr>
        <w:tc>
          <w:tcPr>
            <w:tcW w:w="4277" w:type="dxa"/>
            <w:tcBorders>
              <w:top w:val="nil"/>
              <w:left w:val="nil"/>
              <w:bottom w:val="nil"/>
              <w:right w:val="nil"/>
            </w:tcBorders>
            <w:shd w:val="clear" w:color="auto" w:fill="auto"/>
            <w:noWrap/>
            <w:vAlign w:val="bottom"/>
            <w:hideMark/>
          </w:tcPr>
          <w:p w14:paraId="11E99B60"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Long-term assets</w:t>
            </w:r>
          </w:p>
        </w:tc>
        <w:tc>
          <w:tcPr>
            <w:tcW w:w="1483" w:type="dxa"/>
            <w:tcBorders>
              <w:top w:val="nil"/>
              <w:left w:val="nil"/>
              <w:bottom w:val="nil"/>
              <w:right w:val="nil"/>
            </w:tcBorders>
            <w:shd w:val="clear" w:color="auto" w:fill="auto"/>
            <w:noWrap/>
            <w:vAlign w:val="bottom"/>
            <w:hideMark/>
          </w:tcPr>
          <w:p w14:paraId="49FA5B76"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 xml:space="preserve">           501.8 </w:t>
            </w:r>
          </w:p>
        </w:tc>
      </w:tr>
      <w:tr w:rsidR="006C375E" w:rsidRPr="006C375E" w14:paraId="21D93678" w14:textId="77777777" w:rsidTr="006C375E">
        <w:trPr>
          <w:trHeight w:val="315"/>
        </w:trPr>
        <w:tc>
          <w:tcPr>
            <w:tcW w:w="4277" w:type="dxa"/>
            <w:tcBorders>
              <w:top w:val="nil"/>
              <w:left w:val="nil"/>
              <w:bottom w:val="nil"/>
              <w:right w:val="nil"/>
            </w:tcBorders>
            <w:shd w:val="clear" w:color="auto" w:fill="auto"/>
            <w:noWrap/>
            <w:vAlign w:val="bottom"/>
            <w:hideMark/>
          </w:tcPr>
          <w:p w14:paraId="4C18F8F8"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 xml:space="preserve">    Total assets</w:t>
            </w:r>
          </w:p>
        </w:tc>
        <w:tc>
          <w:tcPr>
            <w:tcW w:w="1483" w:type="dxa"/>
            <w:tcBorders>
              <w:top w:val="single" w:sz="4" w:space="0" w:color="auto"/>
              <w:left w:val="nil"/>
              <w:bottom w:val="double" w:sz="6" w:space="0" w:color="auto"/>
              <w:right w:val="nil"/>
            </w:tcBorders>
            <w:shd w:val="clear" w:color="auto" w:fill="auto"/>
            <w:noWrap/>
            <w:vAlign w:val="bottom"/>
            <w:hideMark/>
          </w:tcPr>
          <w:p w14:paraId="75142B97"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 xml:space="preserve"> $    1,019.9 </w:t>
            </w:r>
          </w:p>
        </w:tc>
      </w:tr>
      <w:tr w:rsidR="006C375E" w:rsidRPr="006C375E" w14:paraId="01F283D5" w14:textId="77777777" w:rsidTr="006C375E">
        <w:trPr>
          <w:trHeight w:val="315"/>
        </w:trPr>
        <w:tc>
          <w:tcPr>
            <w:tcW w:w="4277" w:type="dxa"/>
            <w:tcBorders>
              <w:top w:val="nil"/>
              <w:left w:val="nil"/>
              <w:bottom w:val="nil"/>
              <w:right w:val="nil"/>
            </w:tcBorders>
            <w:shd w:val="clear" w:color="auto" w:fill="auto"/>
            <w:noWrap/>
            <w:vAlign w:val="bottom"/>
            <w:hideMark/>
          </w:tcPr>
          <w:p w14:paraId="250B61C0" w14:textId="77777777" w:rsidR="006C375E" w:rsidRPr="006C375E" w:rsidRDefault="006C375E" w:rsidP="006C375E">
            <w:pPr>
              <w:spacing w:after="0" w:line="240" w:lineRule="auto"/>
              <w:rPr>
                <w:rFonts w:ascii="Calibri" w:eastAsia="Times New Roman" w:hAnsi="Calibri" w:cs="Calibri"/>
                <w:color w:val="000000"/>
              </w:rPr>
            </w:pPr>
          </w:p>
        </w:tc>
        <w:tc>
          <w:tcPr>
            <w:tcW w:w="1483" w:type="dxa"/>
            <w:tcBorders>
              <w:top w:val="nil"/>
              <w:left w:val="nil"/>
              <w:bottom w:val="nil"/>
              <w:right w:val="nil"/>
            </w:tcBorders>
            <w:shd w:val="clear" w:color="auto" w:fill="auto"/>
            <w:noWrap/>
            <w:vAlign w:val="bottom"/>
            <w:hideMark/>
          </w:tcPr>
          <w:p w14:paraId="40B1D984" w14:textId="77777777" w:rsidR="006C375E" w:rsidRPr="006C375E" w:rsidRDefault="006C375E" w:rsidP="006C375E">
            <w:pPr>
              <w:spacing w:after="0" w:line="240" w:lineRule="auto"/>
              <w:rPr>
                <w:rFonts w:ascii="Times New Roman" w:eastAsia="Times New Roman" w:hAnsi="Times New Roman" w:cs="Times New Roman"/>
                <w:sz w:val="20"/>
                <w:szCs w:val="20"/>
              </w:rPr>
            </w:pPr>
          </w:p>
        </w:tc>
      </w:tr>
      <w:tr w:rsidR="006C375E" w:rsidRPr="006C375E" w14:paraId="77E7BFD9" w14:textId="77777777" w:rsidTr="006C375E">
        <w:trPr>
          <w:trHeight w:val="300"/>
        </w:trPr>
        <w:tc>
          <w:tcPr>
            <w:tcW w:w="4277" w:type="dxa"/>
            <w:tcBorders>
              <w:top w:val="nil"/>
              <w:left w:val="nil"/>
              <w:bottom w:val="nil"/>
              <w:right w:val="nil"/>
            </w:tcBorders>
            <w:shd w:val="clear" w:color="auto" w:fill="auto"/>
            <w:noWrap/>
            <w:vAlign w:val="bottom"/>
            <w:hideMark/>
          </w:tcPr>
          <w:p w14:paraId="4FB844EA"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Liabilities and stockholders' equity</w:t>
            </w:r>
          </w:p>
        </w:tc>
        <w:tc>
          <w:tcPr>
            <w:tcW w:w="1483" w:type="dxa"/>
            <w:tcBorders>
              <w:top w:val="nil"/>
              <w:left w:val="nil"/>
              <w:bottom w:val="nil"/>
              <w:right w:val="nil"/>
            </w:tcBorders>
            <w:shd w:val="clear" w:color="auto" w:fill="auto"/>
            <w:noWrap/>
            <w:vAlign w:val="bottom"/>
            <w:hideMark/>
          </w:tcPr>
          <w:p w14:paraId="6B38AA3C" w14:textId="77777777" w:rsidR="006C375E" w:rsidRPr="006C375E" w:rsidRDefault="006C375E" w:rsidP="006C375E">
            <w:pPr>
              <w:spacing w:after="0" w:line="240" w:lineRule="auto"/>
              <w:rPr>
                <w:rFonts w:ascii="Calibri" w:eastAsia="Times New Roman" w:hAnsi="Calibri" w:cs="Calibri"/>
                <w:color w:val="000000"/>
              </w:rPr>
            </w:pPr>
          </w:p>
        </w:tc>
      </w:tr>
      <w:tr w:rsidR="006C375E" w:rsidRPr="006C375E" w14:paraId="6364A4F4" w14:textId="77777777" w:rsidTr="006C375E">
        <w:trPr>
          <w:trHeight w:val="300"/>
        </w:trPr>
        <w:tc>
          <w:tcPr>
            <w:tcW w:w="4277" w:type="dxa"/>
            <w:tcBorders>
              <w:top w:val="nil"/>
              <w:left w:val="nil"/>
              <w:bottom w:val="nil"/>
              <w:right w:val="nil"/>
            </w:tcBorders>
            <w:shd w:val="clear" w:color="auto" w:fill="auto"/>
            <w:noWrap/>
            <w:vAlign w:val="bottom"/>
            <w:hideMark/>
          </w:tcPr>
          <w:p w14:paraId="10B7D202"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Liabilities:</w:t>
            </w:r>
          </w:p>
        </w:tc>
        <w:tc>
          <w:tcPr>
            <w:tcW w:w="1483" w:type="dxa"/>
            <w:tcBorders>
              <w:top w:val="nil"/>
              <w:left w:val="nil"/>
              <w:bottom w:val="nil"/>
              <w:right w:val="nil"/>
            </w:tcBorders>
            <w:shd w:val="clear" w:color="auto" w:fill="auto"/>
            <w:noWrap/>
            <w:vAlign w:val="bottom"/>
            <w:hideMark/>
          </w:tcPr>
          <w:p w14:paraId="77005909" w14:textId="77777777" w:rsidR="006C375E" w:rsidRPr="006C375E" w:rsidRDefault="006C375E" w:rsidP="006C375E">
            <w:pPr>
              <w:spacing w:after="0" w:line="240" w:lineRule="auto"/>
              <w:rPr>
                <w:rFonts w:ascii="Calibri" w:eastAsia="Times New Roman" w:hAnsi="Calibri" w:cs="Calibri"/>
                <w:color w:val="000000"/>
              </w:rPr>
            </w:pPr>
          </w:p>
        </w:tc>
      </w:tr>
      <w:tr w:rsidR="006C375E" w:rsidRPr="006C375E" w14:paraId="46526236" w14:textId="77777777" w:rsidTr="006C375E">
        <w:trPr>
          <w:trHeight w:val="300"/>
        </w:trPr>
        <w:tc>
          <w:tcPr>
            <w:tcW w:w="4277" w:type="dxa"/>
            <w:tcBorders>
              <w:top w:val="nil"/>
              <w:left w:val="nil"/>
              <w:bottom w:val="nil"/>
              <w:right w:val="nil"/>
            </w:tcBorders>
            <w:shd w:val="clear" w:color="auto" w:fill="auto"/>
            <w:noWrap/>
            <w:vAlign w:val="bottom"/>
            <w:hideMark/>
          </w:tcPr>
          <w:p w14:paraId="27191A0E"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Current liabilities</w:t>
            </w:r>
          </w:p>
        </w:tc>
        <w:tc>
          <w:tcPr>
            <w:tcW w:w="1483" w:type="dxa"/>
            <w:tcBorders>
              <w:top w:val="nil"/>
              <w:left w:val="nil"/>
              <w:bottom w:val="nil"/>
              <w:right w:val="nil"/>
            </w:tcBorders>
            <w:shd w:val="clear" w:color="auto" w:fill="auto"/>
            <w:noWrap/>
            <w:vAlign w:val="bottom"/>
            <w:hideMark/>
          </w:tcPr>
          <w:p w14:paraId="090956C4"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 xml:space="preserve"> $        738.4 </w:t>
            </w:r>
          </w:p>
        </w:tc>
      </w:tr>
      <w:tr w:rsidR="006C375E" w:rsidRPr="006C375E" w14:paraId="2FFC0E72" w14:textId="77777777" w:rsidTr="006C375E">
        <w:trPr>
          <w:trHeight w:val="300"/>
        </w:trPr>
        <w:tc>
          <w:tcPr>
            <w:tcW w:w="4277" w:type="dxa"/>
            <w:tcBorders>
              <w:top w:val="nil"/>
              <w:left w:val="nil"/>
              <w:bottom w:val="nil"/>
              <w:right w:val="nil"/>
            </w:tcBorders>
            <w:shd w:val="clear" w:color="auto" w:fill="auto"/>
            <w:noWrap/>
            <w:vAlign w:val="bottom"/>
            <w:hideMark/>
          </w:tcPr>
          <w:p w14:paraId="618E969E"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Long-term liabilities</w:t>
            </w:r>
          </w:p>
        </w:tc>
        <w:tc>
          <w:tcPr>
            <w:tcW w:w="1483" w:type="dxa"/>
            <w:tcBorders>
              <w:top w:val="nil"/>
              <w:left w:val="nil"/>
              <w:bottom w:val="single" w:sz="4" w:space="0" w:color="auto"/>
              <w:right w:val="nil"/>
            </w:tcBorders>
            <w:shd w:val="clear" w:color="auto" w:fill="auto"/>
            <w:noWrap/>
            <w:vAlign w:val="bottom"/>
            <w:hideMark/>
          </w:tcPr>
          <w:p w14:paraId="363525E8"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 xml:space="preserve">           178.6 </w:t>
            </w:r>
          </w:p>
        </w:tc>
      </w:tr>
      <w:tr w:rsidR="006C375E" w:rsidRPr="006C375E" w14:paraId="7EC7ED61" w14:textId="77777777" w:rsidTr="006C375E">
        <w:trPr>
          <w:trHeight w:val="300"/>
        </w:trPr>
        <w:tc>
          <w:tcPr>
            <w:tcW w:w="4277" w:type="dxa"/>
            <w:tcBorders>
              <w:top w:val="nil"/>
              <w:left w:val="nil"/>
              <w:bottom w:val="nil"/>
              <w:right w:val="nil"/>
            </w:tcBorders>
            <w:shd w:val="clear" w:color="auto" w:fill="auto"/>
            <w:noWrap/>
            <w:vAlign w:val="bottom"/>
            <w:hideMark/>
          </w:tcPr>
          <w:p w14:paraId="73C30B18"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 xml:space="preserve">    Total liabilities</w:t>
            </w:r>
          </w:p>
        </w:tc>
        <w:tc>
          <w:tcPr>
            <w:tcW w:w="1483" w:type="dxa"/>
            <w:tcBorders>
              <w:top w:val="nil"/>
              <w:left w:val="nil"/>
              <w:bottom w:val="single" w:sz="4" w:space="0" w:color="auto"/>
              <w:right w:val="nil"/>
            </w:tcBorders>
            <w:shd w:val="clear" w:color="auto" w:fill="auto"/>
            <w:noWrap/>
            <w:vAlign w:val="bottom"/>
            <w:hideMark/>
          </w:tcPr>
          <w:p w14:paraId="1C8D9633"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 xml:space="preserve"> $        917.0 </w:t>
            </w:r>
          </w:p>
        </w:tc>
      </w:tr>
      <w:tr w:rsidR="006C375E" w:rsidRPr="006C375E" w14:paraId="631FB09F" w14:textId="77777777" w:rsidTr="006C375E">
        <w:trPr>
          <w:trHeight w:val="300"/>
        </w:trPr>
        <w:tc>
          <w:tcPr>
            <w:tcW w:w="4277" w:type="dxa"/>
            <w:tcBorders>
              <w:top w:val="nil"/>
              <w:left w:val="nil"/>
              <w:bottom w:val="nil"/>
              <w:right w:val="nil"/>
            </w:tcBorders>
            <w:shd w:val="clear" w:color="auto" w:fill="auto"/>
            <w:noWrap/>
            <w:vAlign w:val="bottom"/>
            <w:hideMark/>
          </w:tcPr>
          <w:p w14:paraId="56EA8DAF" w14:textId="07725D30"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Stockholders' equity:</w:t>
            </w:r>
          </w:p>
        </w:tc>
        <w:tc>
          <w:tcPr>
            <w:tcW w:w="1483" w:type="dxa"/>
            <w:tcBorders>
              <w:top w:val="nil"/>
              <w:left w:val="nil"/>
              <w:bottom w:val="nil"/>
              <w:right w:val="nil"/>
            </w:tcBorders>
            <w:shd w:val="clear" w:color="auto" w:fill="auto"/>
            <w:noWrap/>
            <w:vAlign w:val="bottom"/>
            <w:hideMark/>
          </w:tcPr>
          <w:p w14:paraId="7F4A5EB1" w14:textId="77777777" w:rsidR="006C375E" w:rsidRPr="006C375E" w:rsidRDefault="006C375E" w:rsidP="006C375E">
            <w:pPr>
              <w:spacing w:after="0" w:line="240" w:lineRule="auto"/>
              <w:rPr>
                <w:rFonts w:ascii="Calibri" w:eastAsia="Times New Roman" w:hAnsi="Calibri" w:cs="Calibri"/>
                <w:color w:val="000000"/>
              </w:rPr>
            </w:pPr>
          </w:p>
        </w:tc>
      </w:tr>
      <w:tr w:rsidR="006C375E" w:rsidRPr="006C375E" w14:paraId="50D5710D" w14:textId="77777777" w:rsidTr="006C375E">
        <w:trPr>
          <w:trHeight w:val="300"/>
        </w:trPr>
        <w:tc>
          <w:tcPr>
            <w:tcW w:w="4277" w:type="dxa"/>
            <w:tcBorders>
              <w:top w:val="nil"/>
              <w:left w:val="nil"/>
              <w:bottom w:val="nil"/>
              <w:right w:val="nil"/>
            </w:tcBorders>
            <w:shd w:val="clear" w:color="auto" w:fill="auto"/>
            <w:noWrap/>
            <w:vAlign w:val="bottom"/>
            <w:hideMark/>
          </w:tcPr>
          <w:p w14:paraId="51C7BB92"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Common stock and additional paid-in capital</w:t>
            </w:r>
          </w:p>
        </w:tc>
        <w:tc>
          <w:tcPr>
            <w:tcW w:w="1483" w:type="dxa"/>
            <w:tcBorders>
              <w:top w:val="nil"/>
              <w:left w:val="nil"/>
              <w:bottom w:val="nil"/>
              <w:right w:val="nil"/>
            </w:tcBorders>
            <w:shd w:val="clear" w:color="auto" w:fill="auto"/>
            <w:noWrap/>
            <w:vAlign w:val="bottom"/>
            <w:hideMark/>
          </w:tcPr>
          <w:p w14:paraId="7673BAE2"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 xml:space="preserve"> $    1,564.0 </w:t>
            </w:r>
          </w:p>
        </w:tc>
      </w:tr>
      <w:tr w:rsidR="006C375E" w:rsidRPr="006C375E" w14:paraId="71A0E90A" w14:textId="77777777" w:rsidTr="006C375E">
        <w:trPr>
          <w:trHeight w:val="300"/>
        </w:trPr>
        <w:tc>
          <w:tcPr>
            <w:tcW w:w="4277" w:type="dxa"/>
            <w:tcBorders>
              <w:top w:val="nil"/>
              <w:left w:val="nil"/>
              <w:bottom w:val="nil"/>
              <w:right w:val="nil"/>
            </w:tcBorders>
            <w:shd w:val="clear" w:color="auto" w:fill="auto"/>
            <w:noWrap/>
            <w:vAlign w:val="bottom"/>
            <w:hideMark/>
          </w:tcPr>
          <w:p w14:paraId="275EF0CB"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Retained earnings (deficit) and other</w:t>
            </w:r>
          </w:p>
        </w:tc>
        <w:tc>
          <w:tcPr>
            <w:tcW w:w="1483" w:type="dxa"/>
            <w:tcBorders>
              <w:top w:val="nil"/>
              <w:left w:val="nil"/>
              <w:bottom w:val="single" w:sz="4" w:space="0" w:color="auto"/>
              <w:right w:val="nil"/>
            </w:tcBorders>
            <w:shd w:val="clear" w:color="auto" w:fill="auto"/>
            <w:noWrap/>
            <w:vAlign w:val="bottom"/>
            <w:hideMark/>
          </w:tcPr>
          <w:p w14:paraId="004852E6"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 xml:space="preserve">     (1,461.1)</w:t>
            </w:r>
          </w:p>
        </w:tc>
      </w:tr>
      <w:tr w:rsidR="006C375E" w:rsidRPr="006C375E" w14:paraId="15CE0B7C" w14:textId="77777777" w:rsidTr="006C375E">
        <w:trPr>
          <w:trHeight w:val="300"/>
        </w:trPr>
        <w:tc>
          <w:tcPr>
            <w:tcW w:w="4277" w:type="dxa"/>
            <w:tcBorders>
              <w:top w:val="nil"/>
              <w:left w:val="nil"/>
              <w:bottom w:val="nil"/>
              <w:right w:val="nil"/>
            </w:tcBorders>
            <w:shd w:val="clear" w:color="auto" w:fill="auto"/>
            <w:noWrap/>
            <w:vAlign w:val="bottom"/>
            <w:hideMark/>
          </w:tcPr>
          <w:p w14:paraId="45191A46"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 xml:space="preserve">    Total stockholders' equity</w:t>
            </w:r>
          </w:p>
        </w:tc>
        <w:tc>
          <w:tcPr>
            <w:tcW w:w="1483" w:type="dxa"/>
            <w:tcBorders>
              <w:top w:val="nil"/>
              <w:left w:val="nil"/>
              <w:bottom w:val="nil"/>
              <w:right w:val="nil"/>
            </w:tcBorders>
            <w:shd w:val="clear" w:color="auto" w:fill="auto"/>
            <w:noWrap/>
            <w:vAlign w:val="bottom"/>
            <w:hideMark/>
          </w:tcPr>
          <w:p w14:paraId="6F11B808"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 xml:space="preserve"> $        102.9 </w:t>
            </w:r>
          </w:p>
        </w:tc>
      </w:tr>
      <w:tr w:rsidR="006C375E" w:rsidRPr="006C375E" w14:paraId="4472E429" w14:textId="77777777" w:rsidTr="006C375E">
        <w:trPr>
          <w:trHeight w:val="315"/>
        </w:trPr>
        <w:tc>
          <w:tcPr>
            <w:tcW w:w="4277" w:type="dxa"/>
            <w:tcBorders>
              <w:top w:val="nil"/>
              <w:left w:val="nil"/>
              <w:bottom w:val="nil"/>
              <w:right w:val="nil"/>
            </w:tcBorders>
            <w:shd w:val="clear" w:color="auto" w:fill="auto"/>
            <w:noWrap/>
            <w:vAlign w:val="bottom"/>
            <w:hideMark/>
          </w:tcPr>
          <w:p w14:paraId="1C9B6233"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Total liabilities and stockholders' equity</w:t>
            </w:r>
          </w:p>
        </w:tc>
        <w:tc>
          <w:tcPr>
            <w:tcW w:w="1483" w:type="dxa"/>
            <w:tcBorders>
              <w:top w:val="single" w:sz="4" w:space="0" w:color="auto"/>
              <w:left w:val="nil"/>
              <w:bottom w:val="double" w:sz="6" w:space="0" w:color="auto"/>
              <w:right w:val="nil"/>
            </w:tcBorders>
            <w:shd w:val="clear" w:color="auto" w:fill="auto"/>
            <w:noWrap/>
            <w:vAlign w:val="bottom"/>
            <w:hideMark/>
          </w:tcPr>
          <w:p w14:paraId="10130351" w14:textId="77777777" w:rsidR="006C375E" w:rsidRPr="006C375E" w:rsidRDefault="006C375E" w:rsidP="006C375E">
            <w:pPr>
              <w:spacing w:after="0" w:line="240" w:lineRule="auto"/>
              <w:rPr>
                <w:rFonts w:ascii="Calibri" w:eastAsia="Times New Roman" w:hAnsi="Calibri" w:cs="Calibri"/>
                <w:color w:val="000000"/>
              </w:rPr>
            </w:pPr>
            <w:r w:rsidRPr="006C375E">
              <w:rPr>
                <w:rFonts w:ascii="Calibri" w:eastAsia="Times New Roman" w:hAnsi="Calibri" w:cs="Calibri"/>
                <w:color w:val="000000"/>
              </w:rPr>
              <w:t xml:space="preserve"> $    1,019.9 </w:t>
            </w:r>
          </w:p>
        </w:tc>
      </w:tr>
    </w:tbl>
    <w:p w14:paraId="124ADDF0" w14:textId="77777777" w:rsidR="006C375E" w:rsidRDefault="006C375E" w:rsidP="00685FDB">
      <w:pPr>
        <w:spacing w:after="220" w:line="276" w:lineRule="auto"/>
        <w:rPr>
          <w:rFonts w:ascii="Candara" w:hAnsi="Candara"/>
          <w:b/>
          <w:sz w:val="24"/>
        </w:rPr>
      </w:pPr>
    </w:p>
    <w:p w14:paraId="6B16E196" w14:textId="496DBF26" w:rsidR="00685FDB" w:rsidRPr="00F73130" w:rsidRDefault="00685FDB" w:rsidP="00685FDB">
      <w:pPr>
        <w:spacing w:after="220" w:line="276" w:lineRule="auto"/>
        <w:rPr>
          <w:rFonts w:ascii="Candara" w:hAnsi="Candara"/>
          <w:b/>
          <w:sz w:val="24"/>
        </w:rPr>
      </w:pPr>
      <w:r w:rsidRPr="00F73130">
        <w:rPr>
          <w:rFonts w:ascii="Candara" w:hAnsi="Candara"/>
          <w:b/>
          <w:sz w:val="24"/>
        </w:rPr>
        <w:t>Questions</w:t>
      </w:r>
    </w:p>
    <w:p w14:paraId="67D93392" w14:textId="4F77BFB2" w:rsidR="00685FDB" w:rsidRDefault="00685FDB" w:rsidP="00685FDB">
      <w:pPr>
        <w:pStyle w:val="ListParagraph"/>
        <w:numPr>
          <w:ilvl w:val="0"/>
          <w:numId w:val="18"/>
        </w:numPr>
        <w:tabs>
          <w:tab w:val="left" w:pos="360"/>
        </w:tabs>
        <w:spacing w:after="220" w:line="276" w:lineRule="auto"/>
        <w:jc w:val="both"/>
        <w:rPr>
          <w:rFonts w:ascii="Candara" w:hAnsi="Candara"/>
        </w:rPr>
      </w:pPr>
      <w:r>
        <w:rPr>
          <w:rFonts w:ascii="Candara" w:hAnsi="Candara"/>
        </w:rPr>
        <w:t xml:space="preserve">When </w:t>
      </w:r>
      <w:r w:rsidR="00B647E9">
        <w:rPr>
          <w:rFonts w:ascii="Candara" w:hAnsi="Candara"/>
        </w:rPr>
        <w:t>Dropbox</w:t>
      </w:r>
      <w:r>
        <w:rPr>
          <w:rFonts w:ascii="Candara" w:hAnsi="Candara"/>
        </w:rPr>
        <w:t xml:space="preserve"> issues these common stock shares</w:t>
      </w:r>
      <w:r w:rsidR="006C375E">
        <w:rPr>
          <w:rFonts w:ascii="Candara" w:hAnsi="Candara"/>
        </w:rPr>
        <w:t xml:space="preserve"> through its IPO in exchange for cash</w:t>
      </w:r>
      <w:r>
        <w:rPr>
          <w:rFonts w:ascii="Candara" w:hAnsi="Candara"/>
        </w:rPr>
        <w:t xml:space="preserve">, what impact will that stock issuance have on </w:t>
      </w:r>
      <w:r w:rsidR="00B647E9">
        <w:rPr>
          <w:rFonts w:ascii="Candara" w:hAnsi="Candara"/>
        </w:rPr>
        <w:t>Dropbox’s</w:t>
      </w:r>
      <w:r>
        <w:rPr>
          <w:rFonts w:ascii="Candara" w:hAnsi="Candara"/>
        </w:rPr>
        <w:t xml:space="preserve"> assets, liabilities, and equity?</w:t>
      </w:r>
    </w:p>
    <w:p w14:paraId="4C800836" w14:textId="5D30FE74" w:rsidR="006C375E" w:rsidRDefault="006C375E" w:rsidP="00685FDB">
      <w:pPr>
        <w:pStyle w:val="ListParagraph"/>
        <w:numPr>
          <w:ilvl w:val="0"/>
          <w:numId w:val="18"/>
        </w:numPr>
        <w:tabs>
          <w:tab w:val="left" w:pos="360"/>
        </w:tabs>
        <w:spacing w:after="220" w:line="276" w:lineRule="auto"/>
        <w:jc w:val="both"/>
        <w:rPr>
          <w:rFonts w:ascii="Candara" w:hAnsi="Candara"/>
        </w:rPr>
      </w:pPr>
      <w:r>
        <w:rPr>
          <w:rFonts w:ascii="Candara" w:hAnsi="Candara"/>
        </w:rPr>
        <w:t>What impact, if any, will the Dropbox IPO have on its current ratio? On its debt ratio?</w:t>
      </w:r>
    </w:p>
    <w:p w14:paraId="3B9E7FCF" w14:textId="20AE0C61" w:rsidR="006C375E" w:rsidRDefault="006C375E" w:rsidP="00685FDB">
      <w:pPr>
        <w:pStyle w:val="ListParagraph"/>
        <w:numPr>
          <w:ilvl w:val="0"/>
          <w:numId w:val="18"/>
        </w:numPr>
        <w:tabs>
          <w:tab w:val="left" w:pos="360"/>
        </w:tabs>
        <w:spacing w:after="220" w:line="276" w:lineRule="auto"/>
        <w:jc w:val="both"/>
        <w:rPr>
          <w:rFonts w:ascii="Candara" w:hAnsi="Candara"/>
        </w:rPr>
      </w:pPr>
      <w:r>
        <w:rPr>
          <w:rFonts w:ascii="Candara" w:hAnsi="Candara"/>
        </w:rPr>
        <w:t>Why might Dropbox be choosing to issue stock rather than incur more debt to raise cash?</w:t>
      </w:r>
    </w:p>
    <w:p w14:paraId="49001530" w14:textId="686BB7AD" w:rsidR="00A274B1" w:rsidRPr="006C375E" w:rsidRDefault="00685FDB" w:rsidP="005F7DFD">
      <w:pPr>
        <w:pStyle w:val="ListParagraph"/>
        <w:numPr>
          <w:ilvl w:val="0"/>
          <w:numId w:val="18"/>
        </w:numPr>
        <w:tabs>
          <w:tab w:val="left" w:pos="360"/>
        </w:tabs>
        <w:spacing w:after="80" w:line="240" w:lineRule="auto"/>
        <w:jc w:val="both"/>
        <w:rPr>
          <w:rFonts w:ascii="Candara" w:hAnsi="Candara"/>
        </w:rPr>
      </w:pPr>
      <w:r w:rsidRPr="006C375E">
        <w:rPr>
          <w:rFonts w:ascii="Candara" w:hAnsi="Candara"/>
        </w:rPr>
        <w:t xml:space="preserve">Will this IPO have any direct impact on </w:t>
      </w:r>
      <w:r w:rsidR="00B647E9" w:rsidRPr="006C375E">
        <w:rPr>
          <w:rFonts w:ascii="Candara" w:hAnsi="Candara"/>
        </w:rPr>
        <w:t>Dropbox’s</w:t>
      </w:r>
      <w:r w:rsidRPr="006C375E">
        <w:rPr>
          <w:rFonts w:ascii="Candara" w:hAnsi="Candara"/>
        </w:rPr>
        <w:t xml:space="preserve"> income statement? Explain.</w:t>
      </w:r>
    </w:p>
    <w:sectPr w:rsidR="00A274B1" w:rsidRPr="006C375E">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F1EF2E" w14:textId="77777777" w:rsidR="00B241FD" w:rsidRDefault="00B241FD" w:rsidP="00155D9A">
      <w:pPr>
        <w:spacing w:after="0" w:line="240" w:lineRule="auto"/>
      </w:pPr>
      <w:r>
        <w:separator/>
      </w:r>
    </w:p>
  </w:endnote>
  <w:endnote w:type="continuationSeparator" w:id="0">
    <w:p w14:paraId="4E5F4F15" w14:textId="77777777" w:rsidR="00B241FD" w:rsidRDefault="00B241FD" w:rsidP="00155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67DF3F" w14:textId="79D31FEC" w:rsidR="00155D9A" w:rsidRPr="00155D9A" w:rsidRDefault="00654030" w:rsidP="00155D9A">
    <w:pPr>
      <w:pStyle w:val="Footer"/>
      <w:jc w:val="center"/>
      <w:rPr>
        <w:rFonts w:ascii="Candara" w:hAnsi="Candara"/>
        <w:i/>
        <w:sz w:val="18"/>
      </w:rPr>
    </w:pPr>
    <w:r>
      <w:rPr>
        <w:rFonts w:ascii="Candara" w:hAnsi="Candara"/>
        <w:i/>
        <w:color w:val="333333"/>
        <w:sz w:val="18"/>
        <w:shd w:val="clear" w:color="auto" w:fill="FFFFFF"/>
      </w:rPr>
      <w:t>Copyright ©201</w:t>
    </w:r>
    <w:r w:rsidR="007D275A">
      <w:rPr>
        <w:rFonts w:ascii="Candara" w:hAnsi="Candara"/>
        <w:i/>
        <w:color w:val="333333"/>
        <w:sz w:val="18"/>
        <w:shd w:val="clear" w:color="auto" w:fill="FFFFFF"/>
      </w:rPr>
      <w:t>8</w:t>
    </w:r>
    <w:r>
      <w:rPr>
        <w:rFonts w:ascii="Candara" w:hAnsi="Candara"/>
        <w:i/>
        <w:color w:val="333333"/>
        <w:sz w:val="18"/>
        <w:shd w:val="clear" w:color="auto" w:fill="FFFFFF"/>
      </w:rPr>
      <w:t xml:space="preserve"> Wendy M. Tietz, LLC</w:t>
    </w:r>
    <w:r w:rsidR="00155D9A" w:rsidRPr="00F14B25">
      <w:rPr>
        <w:rFonts w:ascii="Candara" w:hAnsi="Candar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02AB56" w14:textId="77777777" w:rsidR="00B241FD" w:rsidRDefault="00B241FD" w:rsidP="00155D9A">
      <w:pPr>
        <w:spacing w:after="0" w:line="240" w:lineRule="auto"/>
      </w:pPr>
      <w:r>
        <w:separator/>
      </w:r>
    </w:p>
  </w:footnote>
  <w:footnote w:type="continuationSeparator" w:id="0">
    <w:p w14:paraId="14E04E0A" w14:textId="77777777" w:rsidR="00B241FD" w:rsidRDefault="00B241FD" w:rsidP="00155D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86595"/>
    <w:multiLevelType w:val="hybridMultilevel"/>
    <w:tmpl w:val="55FABAF6"/>
    <w:lvl w:ilvl="0" w:tplc="7448815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56BD2"/>
    <w:multiLevelType w:val="hybridMultilevel"/>
    <w:tmpl w:val="F8E88D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A17A13"/>
    <w:multiLevelType w:val="multilevel"/>
    <w:tmpl w:val="1458D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0A6A8C"/>
    <w:multiLevelType w:val="hybridMultilevel"/>
    <w:tmpl w:val="742C5940"/>
    <w:lvl w:ilvl="0" w:tplc="73981BF0">
      <w:start w:val="1"/>
      <w:numFmt w:val="lowerLetter"/>
      <w:lvlText w:val="%1."/>
      <w:lvlJc w:val="left"/>
      <w:pPr>
        <w:tabs>
          <w:tab w:val="num" w:pos="720"/>
        </w:tabs>
        <w:ind w:left="720" w:hanging="360"/>
      </w:pPr>
    </w:lvl>
    <w:lvl w:ilvl="1" w:tplc="10BC7E60" w:tentative="1">
      <w:start w:val="1"/>
      <w:numFmt w:val="lowerLetter"/>
      <w:lvlText w:val="%2."/>
      <w:lvlJc w:val="left"/>
      <w:pPr>
        <w:tabs>
          <w:tab w:val="num" w:pos="1440"/>
        </w:tabs>
        <w:ind w:left="1440" w:hanging="360"/>
      </w:pPr>
    </w:lvl>
    <w:lvl w:ilvl="2" w:tplc="A9B05B24" w:tentative="1">
      <w:start w:val="1"/>
      <w:numFmt w:val="lowerLetter"/>
      <w:lvlText w:val="%3."/>
      <w:lvlJc w:val="left"/>
      <w:pPr>
        <w:tabs>
          <w:tab w:val="num" w:pos="2160"/>
        </w:tabs>
        <w:ind w:left="2160" w:hanging="360"/>
      </w:pPr>
    </w:lvl>
    <w:lvl w:ilvl="3" w:tplc="D1206CCA" w:tentative="1">
      <w:start w:val="1"/>
      <w:numFmt w:val="lowerLetter"/>
      <w:lvlText w:val="%4."/>
      <w:lvlJc w:val="left"/>
      <w:pPr>
        <w:tabs>
          <w:tab w:val="num" w:pos="2880"/>
        </w:tabs>
        <w:ind w:left="2880" w:hanging="360"/>
      </w:pPr>
    </w:lvl>
    <w:lvl w:ilvl="4" w:tplc="12CCA0B6" w:tentative="1">
      <w:start w:val="1"/>
      <w:numFmt w:val="lowerLetter"/>
      <w:lvlText w:val="%5."/>
      <w:lvlJc w:val="left"/>
      <w:pPr>
        <w:tabs>
          <w:tab w:val="num" w:pos="3600"/>
        </w:tabs>
        <w:ind w:left="3600" w:hanging="360"/>
      </w:pPr>
    </w:lvl>
    <w:lvl w:ilvl="5" w:tplc="CF20AAFE" w:tentative="1">
      <w:start w:val="1"/>
      <w:numFmt w:val="lowerLetter"/>
      <w:lvlText w:val="%6."/>
      <w:lvlJc w:val="left"/>
      <w:pPr>
        <w:tabs>
          <w:tab w:val="num" w:pos="4320"/>
        </w:tabs>
        <w:ind w:left="4320" w:hanging="360"/>
      </w:pPr>
    </w:lvl>
    <w:lvl w:ilvl="6" w:tplc="713C7B58" w:tentative="1">
      <w:start w:val="1"/>
      <w:numFmt w:val="lowerLetter"/>
      <w:lvlText w:val="%7."/>
      <w:lvlJc w:val="left"/>
      <w:pPr>
        <w:tabs>
          <w:tab w:val="num" w:pos="5040"/>
        </w:tabs>
        <w:ind w:left="5040" w:hanging="360"/>
      </w:pPr>
    </w:lvl>
    <w:lvl w:ilvl="7" w:tplc="4DC26B20" w:tentative="1">
      <w:start w:val="1"/>
      <w:numFmt w:val="lowerLetter"/>
      <w:lvlText w:val="%8."/>
      <w:lvlJc w:val="left"/>
      <w:pPr>
        <w:tabs>
          <w:tab w:val="num" w:pos="5760"/>
        </w:tabs>
        <w:ind w:left="5760" w:hanging="360"/>
      </w:pPr>
    </w:lvl>
    <w:lvl w:ilvl="8" w:tplc="48C4E7D2" w:tentative="1">
      <w:start w:val="1"/>
      <w:numFmt w:val="lowerLetter"/>
      <w:lvlText w:val="%9."/>
      <w:lvlJc w:val="left"/>
      <w:pPr>
        <w:tabs>
          <w:tab w:val="num" w:pos="6480"/>
        </w:tabs>
        <w:ind w:left="6480" w:hanging="360"/>
      </w:pPr>
    </w:lvl>
  </w:abstractNum>
  <w:abstractNum w:abstractNumId="4" w15:restartNumberingAfterBreak="0">
    <w:nsid w:val="1A9E65E4"/>
    <w:multiLevelType w:val="hybridMultilevel"/>
    <w:tmpl w:val="86F00C12"/>
    <w:lvl w:ilvl="0" w:tplc="FFB8F932">
      <w:start w:val="1"/>
      <w:numFmt w:val="decimal"/>
      <w:lvlText w:val="%1."/>
      <w:lvlJc w:val="left"/>
      <w:pPr>
        <w:ind w:left="720" w:hanging="360"/>
      </w:pPr>
      <w:rPr>
        <w:rFonts w:asciiTheme="minorHAnsi" w:eastAsiaTheme="minorHAnsi" w:hAnsiTheme="minorHAnsi" w:cstheme="minorBidi"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443E7F"/>
    <w:multiLevelType w:val="hybridMultilevel"/>
    <w:tmpl w:val="FC98FB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9E1C98"/>
    <w:multiLevelType w:val="hybridMultilevel"/>
    <w:tmpl w:val="80A6D9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7A3C40"/>
    <w:multiLevelType w:val="hybridMultilevel"/>
    <w:tmpl w:val="12BE6F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4908AA"/>
    <w:multiLevelType w:val="hybridMultilevel"/>
    <w:tmpl w:val="96024E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B526AC6"/>
    <w:multiLevelType w:val="hybridMultilevel"/>
    <w:tmpl w:val="756AF9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BF33D5"/>
    <w:multiLevelType w:val="hybridMultilevel"/>
    <w:tmpl w:val="FCB8BF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05763D"/>
    <w:multiLevelType w:val="hybridMultilevel"/>
    <w:tmpl w:val="C060C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CCC7C1D"/>
    <w:multiLevelType w:val="hybridMultilevel"/>
    <w:tmpl w:val="B61A96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F96588A"/>
    <w:multiLevelType w:val="hybridMultilevel"/>
    <w:tmpl w:val="1A5CA856"/>
    <w:lvl w:ilvl="0" w:tplc="598493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5E422AF"/>
    <w:multiLevelType w:val="hybridMultilevel"/>
    <w:tmpl w:val="D0EC6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66924CD"/>
    <w:multiLevelType w:val="hybridMultilevel"/>
    <w:tmpl w:val="A584367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B42C21"/>
    <w:multiLevelType w:val="hybridMultilevel"/>
    <w:tmpl w:val="38BA9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ED93F09"/>
    <w:multiLevelType w:val="hybridMultilevel"/>
    <w:tmpl w:val="42228C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
  </w:num>
  <w:num w:numId="3">
    <w:abstractNumId w:val="15"/>
  </w:num>
  <w:num w:numId="4">
    <w:abstractNumId w:val="6"/>
  </w:num>
  <w:num w:numId="5">
    <w:abstractNumId w:val="8"/>
  </w:num>
  <w:num w:numId="6">
    <w:abstractNumId w:val="11"/>
  </w:num>
  <w:num w:numId="7">
    <w:abstractNumId w:val="2"/>
  </w:num>
  <w:num w:numId="8">
    <w:abstractNumId w:val="17"/>
  </w:num>
  <w:num w:numId="9">
    <w:abstractNumId w:val="4"/>
  </w:num>
  <w:num w:numId="10">
    <w:abstractNumId w:val="10"/>
  </w:num>
  <w:num w:numId="11">
    <w:abstractNumId w:val="3"/>
  </w:num>
  <w:num w:numId="12">
    <w:abstractNumId w:val="0"/>
  </w:num>
  <w:num w:numId="13">
    <w:abstractNumId w:val="9"/>
  </w:num>
  <w:num w:numId="14">
    <w:abstractNumId w:val="7"/>
  </w:num>
  <w:num w:numId="15">
    <w:abstractNumId w:val="13"/>
  </w:num>
  <w:num w:numId="16">
    <w:abstractNumId w:val="5"/>
  </w:num>
  <w:num w:numId="17">
    <w:abstractNumId w:val="12"/>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01AB"/>
    <w:rsid w:val="00016B50"/>
    <w:rsid w:val="000335D0"/>
    <w:rsid w:val="00036331"/>
    <w:rsid w:val="00037547"/>
    <w:rsid w:val="000A3A4B"/>
    <w:rsid w:val="000B3B19"/>
    <w:rsid w:val="000D0556"/>
    <w:rsid w:val="000E55DF"/>
    <w:rsid w:val="000F3C2C"/>
    <w:rsid w:val="000F4AEF"/>
    <w:rsid w:val="000F664B"/>
    <w:rsid w:val="00125FBC"/>
    <w:rsid w:val="00146934"/>
    <w:rsid w:val="00155D9A"/>
    <w:rsid w:val="001601BD"/>
    <w:rsid w:val="00182048"/>
    <w:rsid w:val="00196537"/>
    <w:rsid w:val="001C10D6"/>
    <w:rsid w:val="001C6D73"/>
    <w:rsid w:val="001E7608"/>
    <w:rsid w:val="001F0790"/>
    <w:rsid w:val="001F2D41"/>
    <w:rsid w:val="00200836"/>
    <w:rsid w:val="002122E3"/>
    <w:rsid w:val="00220B87"/>
    <w:rsid w:val="00230109"/>
    <w:rsid w:val="00230F32"/>
    <w:rsid w:val="002501C6"/>
    <w:rsid w:val="00250E46"/>
    <w:rsid w:val="002A0A48"/>
    <w:rsid w:val="002A3A2E"/>
    <w:rsid w:val="002B1A77"/>
    <w:rsid w:val="002B45B4"/>
    <w:rsid w:val="002B4F3A"/>
    <w:rsid w:val="002C186F"/>
    <w:rsid w:val="002C3B9C"/>
    <w:rsid w:val="002C4FA1"/>
    <w:rsid w:val="002C5EAB"/>
    <w:rsid w:val="002C77E7"/>
    <w:rsid w:val="002D01B0"/>
    <w:rsid w:val="002D5C5F"/>
    <w:rsid w:val="002E0F39"/>
    <w:rsid w:val="002F6CE1"/>
    <w:rsid w:val="00303918"/>
    <w:rsid w:val="00306601"/>
    <w:rsid w:val="00311B3B"/>
    <w:rsid w:val="00311F91"/>
    <w:rsid w:val="00335CDD"/>
    <w:rsid w:val="00343043"/>
    <w:rsid w:val="0037297A"/>
    <w:rsid w:val="003807B0"/>
    <w:rsid w:val="00393AFD"/>
    <w:rsid w:val="003B043B"/>
    <w:rsid w:val="003B28C8"/>
    <w:rsid w:val="003B3493"/>
    <w:rsid w:val="003B394F"/>
    <w:rsid w:val="003D5EC6"/>
    <w:rsid w:val="003E53D1"/>
    <w:rsid w:val="003E57D1"/>
    <w:rsid w:val="003E654A"/>
    <w:rsid w:val="00420EF7"/>
    <w:rsid w:val="0043563B"/>
    <w:rsid w:val="00440FB4"/>
    <w:rsid w:val="00447E8C"/>
    <w:rsid w:val="0045177D"/>
    <w:rsid w:val="0046786C"/>
    <w:rsid w:val="004B1B30"/>
    <w:rsid w:val="004D0DFB"/>
    <w:rsid w:val="004D33DE"/>
    <w:rsid w:val="00506FC7"/>
    <w:rsid w:val="00510E3C"/>
    <w:rsid w:val="00513B1B"/>
    <w:rsid w:val="005147EE"/>
    <w:rsid w:val="005177F4"/>
    <w:rsid w:val="005407B5"/>
    <w:rsid w:val="00542174"/>
    <w:rsid w:val="00545A1C"/>
    <w:rsid w:val="005702F5"/>
    <w:rsid w:val="0057666A"/>
    <w:rsid w:val="00577C36"/>
    <w:rsid w:val="00582C50"/>
    <w:rsid w:val="005901A6"/>
    <w:rsid w:val="005D4AC9"/>
    <w:rsid w:val="005E4A74"/>
    <w:rsid w:val="005F0CA1"/>
    <w:rsid w:val="005F2C45"/>
    <w:rsid w:val="00604567"/>
    <w:rsid w:val="006258FE"/>
    <w:rsid w:val="00644206"/>
    <w:rsid w:val="00654030"/>
    <w:rsid w:val="00657EC7"/>
    <w:rsid w:val="00664622"/>
    <w:rsid w:val="00671534"/>
    <w:rsid w:val="00671850"/>
    <w:rsid w:val="00685FDB"/>
    <w:rsid w:val="006C375E"/>
    <w:rsid w:val="006D2601"/>
    <w:rsid w:val="007060B2"/>
    <w:rsid w:val="00717797"/>
    <w:rsid w:val="00720125"/>
    <w:rsid w:val="007704D1"/>
    <w:rsid w:val="007A1CE3"/>
    <w:rsid w:val="007A4B05"/>
    <w:rsid w:val="007B05D1"/>
    <w:rsid w:val="007C006E"/>
    <w:rsid w:val="007D275A"/>
    <w:rsid w:val="007D3A9F"/>
    <w:rsid w:val="007E2EFD"/>
    <w:rsid w:val="007F5119"/>
    <w:rsid w:val="00816CAF"/>
    <w:rsid w:val="00820339"/>
    <w:rsid w:val="00827B02"/>
    <w:rsid w:val="00831EA7"/>
    <w:rsid w:val="008361CA"/>
    <w:rsid w:val="0084782A"/>
    <w:rsid w:val="008515B3"/>
    <w:rsid w:val="00857745"/>
    <w:rsid w:val="0086015A"/>
    <w:rsid w:val="008621A9"/>
    <w:rsid w:val="00865F34"/>
    <w:rsid w:val="00885ADD"/>
    <w:rsid w:val="008875D0"/>
    <w:rsid w:val="008B009E"/>
    <w:rsid w:val="008C6562"/>
    <w:rsid w:val="008D041F"/>
    <w:rsid w:val="008E4E49"/>
    <w:rsid w:val="0097075F"/>
    <w:rsid w:val="00971962"/>
    <w:rsid w:val="00977FC4"/>
    <w:rsid w:val="00987FD5"/>
    <w:rsid w:val="009D4950"/>
    <w:rsid w:val="009F0E75"/>
    <w:rsid w:val="009F2507"/>
    <w:rsid w:val="00A17231"/>
    <w:rsid w:val="00A274B1"/>
    <w:rsid w:val="00A34EC1"/>
    <w:rsid w:val="00A4110A"/>
    <w:rsid w:val="00A65650"/>
    <w:rsid w:val="00A676FB"/>
    <w:rsid w:val="00A82DF9"/>
    <w:rsid w:val="00A91CCF"/>
    <w:rsid w:val="00AA38D7"/>
    <w:rsid w:val="00AB1CE4"/>
    <w:rsid w:val="00AD6F43"/>
    <w:rsid w:val="00AF58BB"/>
    <w:rsid w:val="00B00DB6"/>
    <w:rsid w:val="00B030F3"/>
    <w:rsid w:val="00B10274"/>
    <w:rsid w:val="00B14BCD"/>
    <w:rsid w:val="00B2082E"/>
    <w:rsid w:val="00B241FD"/>
    <w:rsid w:val="00B46FBA"/>
    <w:rsid w:val="00B61C2A"/>
    <w:rsid w:val="00B632AC"/>
    <w:rsid w:val="00B647E9"/>
    <w:rsid w:val="00B73E2B"/>
    <w:rsid w:val="00BA7A99"/>
    <w:rsid w:val="00BC48D7"/>
    <w:rsid w:val="00BD52AD"/>
    <w:rsid w:val="00BF01AB"/>
    <w:rsid w:val="00C54F3F"/>
    <w:rsid w:val="00C623F0"/>
    <w:rsid w:val="00CA000F"/>
    <w:rsid w:val="00CB2314"/>
    <w:rsid w:val="00CC6A7C"/>
    <w:rsid w:val="00CF3ABF"/>
    <w:rsid w:val="00D53043"/>
    <w:rsid w:val="00D7337A"/>
    <w:rsid w:val="00D9046E"/>
    <w:rsid w:val="00DE111C"/>
    <w:rsid w:val="00DE5A22"/>
    <w:rsid w:val="00E35F80"/>
    <w:rsid w:val="00E879CB"/>
    <w:rsid w:val="00EA2877"/>
    <w:rsid w:val="00EB6B12"/>
    <w:rsid w:val="00EC1982"/>
    <w:rsid w:val="00ED2A92"/>
    <w:rsid w:val="00EE5BB7"/>
    <w:rsid w:val="00F05B39"/>
    <w:rsid w:val="00F3071E"/>
    <w:rsid w:val="00F512A1"/>
    <w:rsid w:val="00F537B3"/>
    <w:rsid w:val="00F84088"/>
    <w:rsid w:val="00F955B8"/>
    <w:rsid w:val="00F95C48"/>
    <w:rsid w:val="00FD02F4"/>
    <w:rsid w:val="00FD18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4474F"/>
  <w15:chartTrackingRefBased/>
  <w15:docId w15:val="{BA105431-37D4-4D74-AD8F-B3127D0D8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84088"/>
  </w:style>
  <w:style w:type="paragraph" w:styleId="Heading1">
    <w:name w:val="heading 1"/>
    <w:basedOn w:val="Normal"/>
    <w:next w:val="Normal"/>
    <w:link w:val="Heading1Char"/>
    <w:uiPriority w:val="9"/>
    <w:qFormat/>
    <w:rsid w:val="003D5EC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A000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879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01AB"/>
    <w:pPr>
      <w:ind w:left="720"/>
      <w:contextualSpacing/>
    </w:pPr>
  </w:style>
  <w:style w:type="paragraph" w:styleId="Header">
    <w:name w:val="header"/>
    <w:basedOn w:val="Normal"/>
    <w:link w:val="HeaderChar"/>
    <w:uiPriority w:val="99"/>
    <w:unhideWhenUsed/>
    <w:rsid w:val="00155D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5D9A"/>
  </w:style>
  <w:style w:type="paragraph" w:styleId="Footer">
    <w:name w:val="footer"/>
    <w:basedOn w:val="Normal"/>
    <w:link w:val="FooterChar"/>
    <w:uiPriority w:val="99"/>
    <w:unhideWhenUsed/>
    <w:rsid w:val="00155D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5D9A"/>
  </w:style>
  <w:style w:type="character" w:customStyle="1" w:styleId="apple-converted-space">
    <w:name w:val="apple-converted-space"/>
    <w:basedOn w:val="DefaultParagraphFont"/>
    <w:rsid w:val="00155D9A"/>
  </w:style>
  <w:style w:type="character" w:styleId="Hyperlink">
    <w:name w:val="Hyperlink"/>
    <w:basedOn w:val="DefaultParagraphFont"/>
    <w:uiPriority w:val="99"/>
    <w:unhideWhenUsed/>
    <w:rsid w:val="00016B50"/>
    <w:rPr>
      <w:color w:val="0563C1" w:themeColor="hyperlink"/>
      <w:u w:val="single"/>
    </w:rPr>
  </w:style>
  <w:style w:type="character" w:styleId="UnresolvedMention">
    <w:name w:val="Unresolved Mention"/>
    <w:basedOn w:val="DefaultParagraphFont"/>
    <w:uiPriority w:val="99"/>
    <w:semiHidden/>
    <w:unhideWhenUsed/>
    <w:rsid w:val="00016B50"/>
    <w:rPr>
      <w:color w:val="808080"/>
      <w:shd w:val="clear" w:color="auto" w:fill="E6E6E6"/>
    </w:rPr>
  </w:style>
  <w:style w:type="character" w:customStyle="1" w:styleId="Heading2Char">
    <w:name w:val="Heading 2 Char"/>
    <w:basedOn w:val="DefaultParagraphFont"/>
    <w:link w:val="Heading2"/>
    <w:uiPriority w:val="9"/>
    <w:rsid w:val="00CA000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E879CB"/>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E879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3D5EC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1996">
      <w:bodyDiv w:val="1"/>
      <w:marLeft w:val="0"/>
      <w:marRight w:val="0"/>
      <w:marTop w:val="0"/>
      <w:marBottom w:val="0"/>
      <w:divBdr>
        <w:top w:val="none" w:sz="0" w:space="0" w:color="auto"/>
        <w:left w:val="none" w:sz="0" w:space="0" w:color="auto"/>
        <w:bottom w:val="none" w:sz="0" w:space="0" w:color="auto"/>
        <w:right w:val="none" w:sz="0" w:space="0" w:color="auto"/>
      </w:divBdr>
      <w:divsChild>
        <w:div w:id="75396932">
          <w:marLeft w:val="0"/>
          <w:marRight w:val="0"/>
          <w:marTop w:val="0"/>
          <w:marBottom w:val="0"/>
          <w:divBdr>
            <w:top w:val="none" w:sz="0" w:space="0" w:color="auto"/>
            <w:left w:val="none" w:sz="0" w:space="0" w:color="auto"/>
            <w:bottom w:val="none" w:sz="0" w:space="0" w:color="auto"/>
            <w:right w:val="none" w:sz="0" w:space="0" w:color="auto"/>
          </w:divBdr>
          <w:divsChild>
            <w:div w:id="1158111205">
              <w:marLeft w:val="0"/>
              <w:marRight w:val="0"/>
              <w:marTop w:val="0"/>
              <w:marBottom w:val="0"/>
              <w:divBdr>
                <w:top w:val="none" w:sz="0" w:space="0" w:color="auto"/>
                <w:left w:val="none" w:sz="0" w:space="0" w:color="auto"/>
                <w:bottom w:val="none" w:sz="0" w:space="0" w:color="auto"/>
                <w:right w:val="none" w:sz="0" w:space="0" w:color="auto"/>
              </w:divBdr>
            </w:div>
          </w:divsChild>
        </w:div>
        <w:div w:id="788355327">
          <w:marLeft w:val="0"/>
          <w:marRight w:val="0"/>
          <w:marTop w:val="0"/>
          <w:marBottom w:val="0"/>
          <w:divBdr>
            <w:top w:val="none" w:sz="0" w:space="0" w:color="auto"/>
            <w:left w:val="none" w:sz="0" w:space="0" w:color="auto"/>
            <w:bottom w:val="none" w:sz="0" w:space="0" w:color="auto"/>
            <w:right w:val="none" w:sz="0" w:space="0" w:color="auto"/>
          </w:divBdr>
        </w:div>
        <w:div w:id="904292192">
          <w:marLeft w:val="0"/>
          <w:marRight w:val="0"/>
          <w:marTop w:val="0"/>
          <w:marBottom w:val="0"/>
          <w:divBdr>
            <w:top w:val="none" w:sz="0" w:space="0" w:color="auto"/>
            <w:left w:val="none" w:sz="0" w:space="0" w:color="auto"/>
            <w:bottom w:val="none" w:sz="0" w:space="0" w:color="auto"/>
            <w:right w:val="none" w:sz="0" w:space="0" w:color="auto"/>
          </w:divBdr>
          <w:divsChild>
            <w:div w:id="72194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7858">
      <w:bodyDiv w:val="1"/>
      <w:marLeft w:val="0"/>
      <w:marRight w:val="0"/>
      <w:marTop w:val="0"/>
      <w:marBottom w:val="0"/>
      <w:divBdr>
        <w:top w:val="none" w:sz="0" w:space="0" w:color="auto"/>
        <w:left w:val="none" w:sz="0" w:space="0" w:color="auto"/>
        <w:bottom w:val="none" w:sz="0" w:space="0" w:color="auto"/>
        <w:right w:val="none" w:sz="0" w:space="0" w:color="auto"/>
      </w:divBdr>
    </w:div>
    <w:div w:id="783161330">
      <w:bodyDiv w:val="1"/>
      <w:marLeft w:val="0"/>
      <w:marRight w:val="0"/>
      <w:marTop w:val="0"/>
      <w:marBottom w:val="0"/>
      <w:divBdr>
        <w:top w:val="none" w:sz="0" w:space="0" w:color="auto"/>
        <w:left w:val="none" w:sz="0" w:space="0" w:color="auto"/>
        <w:bottom w:val="none" w:sz="0" w:space="0" w:color="auto"/>
        <w:right w:val="none" w:sz="0" w:space="0" w:color="auto"/>
      </w:divBdr>
    </w:div>
    <w:div w:id="1013725290">
      <w:bodyDiv w:val="1"/>
      <w:marLeft w:val="0"/>
      <w:marRight w:val="0"/>
      <w:marTop w:val="0"/>
      <w:marBottom w:val="0"/>
      <w:divBdr>
        <w:top w:val="none" w:sz="0" w:space="0" w:color="auto"/>
        <w:left w:val="none" w:sz="0" w:space="0" w:color="auto"/>
        <w:bottom w:val="none" w:sz="0" w:space="0" w:color="auto"/>
        <w:right w:val="none" w:sz="0" w:space="0" w:color="auto"/>
      </w:divBdr>
    </w:div>
    <w:div w:id="1167328155">
      <w:bodyDiv w:val="1"/>
      <w:marLeft w:val="0"/>
      <w:marRight w:val="0"/>
      <w:marTop w:val="0"/>
      <w:marBottom w:val="0"/>
      <w:divBdr>
        <w:top w:val="none" w:sz="0" w:space="0" w:color="auto"/>
        <w:left w:val="none" w:sz="0" w:space="0" w:color="auto"/>
        <w:bottom w:val="none" w:sz="0" w:space="0" w:color="auto"/>
        <w:right w:val="none" w:sz="0" w:space="0" w:color="auto"/>
      </w:divBdr>
      <w:divsChild>
        <w:div w:id="1371107928">
          <w:marLeft w:val="547"/>
          <w:marRight w:val="0"/>
          <w:marTop w:val="0"/>
          <w:marBottom w:val="0"/>
          <w:divBdr>
            <w:top w:val="none" w:sz="0" w:space="0" w:color="auto"/>
            <w:left w:val="none" w:sz="0" w:space="0" w:color="auto"/>
            <w:bottom w:val="none" w:sz="0" w:space="0" w:color="auto"/>
            <w:right w:val="none" w:sz="0" w:space="0" w:color="auto"/>
          </w:divBdr>
        </w:div>
        <w:div w:id="1477648076">
          <w:marLeft w:val="547"/>
          <w:marRight w:val="0"/>
          <w:marTop w:val="0"/>
          <w:marBottom w:val="0"/>
          <w:divBdr>
            <w:top w:val="none" w:sz="0" w:space="0" w:color="auto"/>
            <w:left w:val="none" w:sz="0" w:space="0" w:color="auto"/>
            <w:bottom w:val="none" w:sz="0" w:space="0" w:color="auto"/>
            <w:right w:val="none" w:sz="0" w:space="0" w:color="auto"/>
          </w:divBdr>
        </w:div>
        <w:div w:id="229847084">
          <w:marLeft w:val="547"/>
          <w:marRight w:val="0"/>
          <w:marTop w:val="0"/>
          <w:marBottom w:val="0"/>
          <w:divBdr>
            <w:top w:val="none" w:sz="0" w:space="0" w:color="auto"/>
            <w:left w:val="none" w:sz="0" w:space="0" w:color="auto"/>
            <w:bottom w:val="none" w:sz="0" w:space="0" w:color="auto"/>
            <w:right w:val="none" w:sz="0" w:space="0" w:color="auto"/>
          </w:divBdr>
        </w:div>
        <w:div w:id="22892410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c.gov/Archives/edgar/data/1467623/000119312518055809/d451946ds1.htm" TargetMode="External"/><Relationship Id="rId3" Type="http://schemas.openxmlformats.org/officeDocument/2006/relationships/settings" Target="settings.xml"/><Relationship Id="rId7" Type="http://schemas.openxmlformats.org/officeDocument/2006/relationships/hyperlink" Target="https://www.dropbox.com/news/company-inf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1185</TotalTime>
  <Pages>1</Pages>
  <Words>342</Words>
  <Characters>1783</Characters>
  <Application>Microsoft Office Word</Application>
  <DocSecurity>0</DocSecurity>
  <Lines>33</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Tietz, Wendy</dc:creator>
  <cp:keywords/>
  <dc:description/>
  <cp:lastModifiedBy>Wendy Tietz</cp:lastModifiedBy>
  <cp:revision>9</cp:revision>
  <dcterms:created xsi:type="dcterms:W3CDTF">2018-03-17T17:36:00Z</dcterms:created>
  <dcterms:modified xsi:type="dcterms:W3CDTF">2018-03-18T13:59:00Z</dcterms:modified>
</cp:coreProperties>
</file>