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2EFD" w:rsidRPr="00155D9A" w:rsidRDefault="002575FB">
      <w:pPr>
        <w:rPr>
          <w:rFonts w:ascii="Candara" w:hAnsi="Candara"/>
          <w:b/>
        </w:rPr>
      </w:pPr>
      <w:r w:rsidRPr="002575FB">
        <w:rPr>
          <w:rFonts w:ascii="Candara" w:hAnsi="Candara"/>
          <w:b/>
        </w:rPr>
        <w:t>Would Subway have disclosed or accrued for the class-action lawsuit filed against it for the length of its footlong subs?</w:t>
      </w:r>
    </w:p>
    <w:p w:rsidR="00BF1371" w:rsidRDefault="002575FB">
      <w:pPr>
        <w:rPr>
          <w:rFonts w:ascii="Candara" w:hAnsi="Candara"/>
        </w:rPr>
      </w:pPr>
      <w:r>
        <w:rPr>
          <w:rFonts w:ascii="Candara" w:hAnsi="Candara"/>
        </w:rPr>
        <w:t>Nine Subway customers joined forces to file a class-action lawsuit again</w:t>
      </w:r>
      <w:r w:rsidR="005B3E3C">
        <w:rPr>
          <w:rFonts w:ascii="Candara" w:hAnsi="Candara"/>
        </w:rPr>
        <w:t>st</w:t>
      </w:r>
      <w:r>
        <w:rPr>
          <w:rFonts w:ascii="Candara" w:hAnsi="Candara"/>
        </w:rPr>
        <w:t xml:space="preserve"> Subway, alleging that its footlong submarine sandwiches were not </w:t>
      </w:r>
      <w:r w:rsidR="00C65CC1">
        <w:rPr>
          <w:rFonts w:ascii="Candara" w:hAnsi="Candara"/>
        </w:rPr>
        <w:t xml:space="preserve">actually a foot, or </w:t>
      </w:r>
      <w:r>
        <w:rPr>
          <w:rFonts w:ascii="Candara" w:hAnsi="Candara"/>
        </w:rPr>
        <w:t>12 inches</w:t>
      </w:r>
      <w:r w:rsidR="00C65CC1">
        <w:rPr>
          <w:rFonts w:ascii="Candara" w:hAnsi="Candara"/>
        </w:rPr>
        <w:t>,</w:t>
      </w:r>
      <w:r>
        <w:rPr>
          <w:rFonts w:ascii="Candara" w:hAnsi="Candara"/>
        </w:rPr>
        <w:t xml:space="preserve"> in length, but were closer to 11 inches. </w:t>
      </w:r>
      <w:r w:rsidR="005B3E3C">
        <w:rPr>
          <w:rFonts w:ascii="Candara" w:hAnsi="Candara"/>
        </w:rPr>
        <w:t xml:space="preserve"> The class action suit was filed in 2013 and Subway settled a few years later, agreeing to pay the plaintiffs’ attorneys $525,000. Each of the nine plaintiffs would receive $500 in the settlement agreement.</w:t>
      </w:r>
      <w:r>
        <w:rPr>
          <w:rFonts w:ascii="Candara" w:hAnsi="Candara"/>
        </w:rPr>
        <w:t xml:space="preserve"> </w:t>
      </w:r>
    </w:p>
    <w:p w:rsidR="005B3E3C" w:rsidRDefault="005B3E3C">
      <w:pPr>
        <w:rPr>
          <w:rFonts w:ascii="Candara" w:hAnsi="Candara"/>
        </w:rPr>
      </w:pPr>
      <w:r>
        <w:rPr>
          <w:rFonts w:ascii="Candara" w:hAnsi="Candara"/>
        </w:rPr>
        <w:t>The 7</w:t>
      </w:r>
      <w:r w:rsidRPr="005B3E3C">
        <w:rPr>
          <w:rFonts w:ascii="Candara" w:hAnsi="Candara"/>
          <w:vertAlign w:val="superscript"/>
        </w:rPr>
        <w:t>th</w:t>
      </w:r>
      <w:r>
        <w:rPr>
          <w:rFonts w:ascii="Candara" w:hAnsi="Candara"/>
        </w:rPr>
        <w:t xml:space="preserve"> U.S. Circuit Court of Appeals </w:t>
      </w:r>
      <w:r w:rsidR="00206010">
        <w:rPr>
          <w:rFonts w:ascii="Candara" w:hAnsi="Candara"/>
        </w:rPr>
        <w:t xml:space="preserve">recently </w:t>
      </w:r>
      <w:r>
        <w:rPr>
          <w:rFonts w:ascii="Candara" w:hAnsi="Candara"/>
        </w:rPr>
        <w:t>threw out the settlement, stating that the settlement was utterly worthless to the average Subway customer. One of the judges further stated that only the attorneys benefited from this class-action lawsuit.</w:t>
      </w:r>
    </w:p>
    <w:p w:rsidR="005B3E3C" w:rsidRDefault="005B3E3C">
      <w:pPr>
        <w:rPr>
          <w:rFonts w:ascii="Candara" w:hAnsi="Candara"/>
        </w:rPr>
      </w:pPr>
      <w:r>
        <w:rPr>
          <w:rFonts w:ascii="Candara" w:hAnsi="Candara"/>
        </w:rPr>
        <w:t>One of the 7</w:t>
      </w:r>
      <w:r w:rsidRPr="005B3E3C">
        <w:rPr>
          <w:rFonts w:ascii="Candara" w:hAnsi="Candara"/>
          <w:vertAlign w:val="superscript"/>
        </w:rPr>
        <w:t>th</w:t>
      </w:r>
      <w:r>
        <w:rPr>
          <w:rFonts w:ascii="Candara" w:hAnsi="Candara"/>
        </w:rPr>
        <w:t xml:space="preserve"> U.S. Circuit Court of Appeals Judge Diane Sykes had the following comments about the </w:t>
      </w:r>
      <w:r w:rsidR="00A1174D">
        <w:rPr>
          <w:rFonts w:ascii="Candara" w:hAnsi="Candara"/>
        </w:rPr>
        <w:t xml:space="preserve">merits of the </w:t>
      </w:r>
      <w:r>
        <w:rPr>
          <w:rFonts w:ascii="Candara" w:hAnsi="Candara"/>
        </w:rPr>
        <w:t>lawsuit:</w:t>
      </w:r>
    </w:p>
    <w:p w:rsidR="00206010" w:rsidRDefault="00206010" w:rsidP="00206010">
      <w:pPr>
        <w:pStyle w:val="ListParagraph"/>
        <w:numPr>
          <w:ilvl w:val="0"/>
          <w:numId w:val="6"/>
        </w:numPr>
        <w:rPr>
          <w:rFonts w:ascii="Candara" w:hAnsi="Candara"/>
        </w:rPr>
      </w:pPr>
      <w:bookmarkStart w:id="0" w:name="_GoBack"/>
      <w:r>
        <w:rPr>
          <w:rFonts w:ascii="Candara" w:hAnsi="Candara"/>
        </w:rPr>
        <w:t>Some sandwich rolls will fall short of twelve inches due to the variability inherent in the baking process.</w:t>
      </w:r>
    </w:p>
    <w:p w:rsidR="00206010" w:rsidRPr="00206010" w:rsidRDefault="00206010" w:rsidP="00206010">
      <w:pPr>
        <w:pStyle w:val="ListParagraph"/>
        <w:numPr>
          <w:ilvl w:val="0"/>
          <w:numId w:val="6"/>
        </w:numPr>
        <w:rPr>
          <w:rFonts w:ascii="Candara" w:hAnsi="Candara"/>
        </w:rPr>
      </w:pPr>
      <w:r>
        <w:rPr>
          <w:rFonts w:ascii="Candara" w:hAnsi="Candara"/>
        </w:rPr>
        <w:t xml:space="preserve">Subway’s customers </w:t>
      </w:r>
      <w:proofErr w:type="gramStart"/>
      <w:r>
        <w:rPr>
          <w:rFonts w:ascii="Candara" w:hAnsi="Candara"/>
        </w:rPr>
        <w:t>are allowed to</w:t>
      </w:r>
      <w:proofErr w:type="gramEnd"/>
      <w:r>
        <w:rPr>
          <w:rFonts w:ascii="Candara" w:hAnsi="Candara"/>
        </w:rPr>
        <w:t xml:space="preserve"> pile on sandwich fillings at no extra charge, giving the customer the same amount of food even if the bun is short of twelve inches.</w:t>
      </w:r>
    </w:p>
    <w:bookmarkEnd w:id="0"/>
    <w:p w:rsidR="00BF01AB" w:rsidRPr="00155D9A" w:rsidRDefault="00BF01AB">
      <w:pPr>
        <w:rPr>
          <w:rFonts w:ascii="Candara" w:hAnsi="Candara"/>
          <w:b/>
        </w:rPr>
      </w:pPr>
      <w:r w:rsidRPr="00155D9A">
        <w:rPr>
          <w:rFonts w:ascii="Candara" w:hAnsi="Candara"/>
          <w:b/>
        </w:rPr>
        <w:t>Discussion Questions</w:t>
      </w:r>
    </w:p>
    <w:p w:rsidR="00EB5FD1" w:rsidRDefault="00206010" w:rsidP="00B90D14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What is a contingent liability?</w:t>
      </w:r>
    </w:p>
    <w:p w:rsidR="00206010" w:rsidRDefault="00206010" w:rsidP="00B90D14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What conditions must be met for a contingent liability to be disclosed (but not accrued) in the financial statements under U.S. GAAP?</w:t>
      </w:r>
    </w:p>
    <w:p w:rsidR="00206010" w:rsidRDefault="00206010" w:rsidP="00206010">
      <w:pPr>
        <w:pStyle w:val="ListParagraph"/>
        <w:numPr>
          <w:ilvl w:val="0"/>
          <w:numId w:val="1"/>
        </w:numPr>
        <w:rPr>
          <w:rFonts w:ascii="Candara" w:hAnsi="Candara"/>
        </w:rPr>
      </w:pPr>
      <w:r>
        <w:rPr>
          <w:rFonts w:ascii="Candara" w:hAnsi="Candara"/>
        </w:rPr>
        <w:t>What conditions must be met for a contingent liability to be disclosed and accrued in the financial statements under U.S. GAAP?</w:t>
      </w:r>
    </w:p>
    <w:p w:rsidR="00206010" w:rsidRPr="00206010" w:rsidRDefault="00206010" w:rsidP="00B90D14">
      <w:pPr>
        <w:pStyle w:val="ListParagraph"/>
        <w:numPr>
          <w:ilvl w:val="0"/>
          <w:numId w:val="1"/>
        </w:numPr>
        <w:rPr>
          <w:rFonts w:ascii="Candara" w:hAnsi="Candara"/>
        </w:rPr>
      </w:pPr>
      <w:r w:rsidRPr="00206010">
        <w:rPr>
          <w:rFonts w:ascii="Candara" w:hAnsi="Candara"/>
        </w:rPr>
        <w:t xml:space="preserve">In your opinion, would Subway have needed to disclose and/or accrue for the </w:t>
      </w:r>
      <w:r>
        <w:rPr>
          <w:rFonts w:ascii="Candara" w:hAnsi="Candara"/>
        </w:rPr>
        <w:t xml:space="preserve">footlong </w:t>
      </w:r>
      <w:r w:rsidRPr="00206010">
        <w:rPr>
          <w:rFonts w:ascii="Candara" w:hAnsi="Candara"/>
        </w:rPr>
        <w:t>class-action lawsuit? Explain your rationale.</w:t>
      </w:r>
    </w:p>
    <w:sectPr w:rsidR="00206010" w:rsidRPr="0020601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5A72" w:rsidRDefault="00075A72" w:rsidP="00155D9A">
      <w:pPr>
        <w:spacing w:after="0" w:line="240" w:lineRule="auto"/>
      </w:pPr>
      <w:r>
        <w:separator/>
      </w:r>
    </w:p>
  </w:endnote>
  <w:endnote w:type="continuationSeparator" w:id="0">
    <w:p w:rsidR="00075A72" w:rsidRDefault="00075A72" w:rsidP="0015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9A" w:rsidRPr="00F14B25" w:rsidRDefault="00155D9A" w:rsidP="00155D9A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F14B2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155D9A" w:rsidRPr="00155D9A" w:rsidRDefault="00155D9A" w:rsidP="00155D9A">
    <w:pPr>
      <w:pStyle w:val="Footer"/>
      <w:jc w:val="center"/>
      <w:rPr>
        <w:rFonts w:ascii="Candara" w:hAnsi="Candara"/>
        <w:i/>
        <w:sz w:val="18"/>
      </w:rPr>
    </w:pPr>
    <w:r w:rsidRPr="00F14B2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F14B2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F14B2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License</w:t>
    </w:r>
    <w:r w:rsidRPr="00F14B2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5A72" w:rsidRDefault="00075A72" w:rsidP="00155D9A">
      <w:pPr>
        <w:spacing w:after="0" w:line="240" w:lineRule="auto"/>
      </w:pPr>
      <w:r>
        <w:separator/>
      </w:r>
    </w:p>
  </w:footnote>
  <w:footnote w:type="continuationSeparator" w:id="0">
    <w:p w:rsidR="00075A72" w:rsidRDefault="00075A72" w:rsidP="00155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57BA7"/>
    <w:multiLevelType w:val="hybridMultilevel"/>
    <w:tmpl w:val="BBECE1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9E2EFE"/>
    <w:multiLevelType w:val="hybridMultilevel"/>
    <w:tmpl w:val="980219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64954"/>
    <w:multiLevelType w:val="hybridMultilevel"/>
    <w:tmpl w:val="DE6A0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FD18BA"/>
    <w:multiLevelType w:val="hybridMultilevel"/>
    <w:tmpl w:val="63D45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63B12"/>
    <w:multiLevelType w:val="hybridMultilevel"/>
    <w:tmpl w:val="5CC66A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E422AF"/>
    <w:multiLevelType w:val="hybridMultilevel"/>
    <w:tmpl w:val="D0EC6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1AB"/>
    <w:rsid w:val="00016B50"/>
    <w:rsid w:val="00037547"/>
    <w:rsid w:val="00075A72"/>
    <w:rsid w:val="000C1520"/>
    <w:rsid w:val="00155121"/>
    <w:rsid w:val="001553B0"/>
    <w:rsid w:val="00155D9A"/>
    <w:rsid w:val="0018240B"/>
    <w:rsid w:val="001C3438"/>
    <w:rsid w:val="00206010"/>
    <w:rsid w:val="002575FB"/>
    <w:rsid w:val="002B4F3A"/>
    <w:rsid w:val="002B5D49"/>
    <w:rsid w:val="002C77E7"/>
    <w:rsid w:val="002D01B0"/>
    <w:rsid w:val="002E0F39"/>
    <w:rsid w:val="00310272"/>
    <w:rsid w:val="0037297A"/>
    <w:rsid w:val="003B3493"/>
    <w:rsid w:val="003E654A"/>
    <w:rsid w:val="00401406"/>
    <w:rsid w:val="004D5AC8"/>
    <w:rsid w:val="005177F4"/>
    <w:rsid w:val="00525531"/>
    <w:rsid w:val="00577C36"/>
    <w:rsid w:val="005B3E3C"/>
    <w:rsid w:val="005C31A2"/>
    <w:rsid w:val="005F2C45"/>
    <w:rsid w:val="00626DDD"/>
    <w:rsid w:val="006C083E"/>
    <w:rsid w:val="00737107"/>
    <w:rsid w:val="007E2EFD"/>
    <w:rsid w:val="00816CAF"/>
    <w:rsid w:val="008218C4"/>
    <w:rsid w:val="008376F5"/>
    <w:rsid w:val="008822B1"/>
    <w:rsid w:val="008B3A2C"/>
    <w:rsid w:val="009E7263"/>
    <w:rsid w:val="00A1174D"/>
    <w:rsid w:val="00A676FB"/>
    <w:rsid w:val="00AA1310"/>
    <w:rsid w:val="00AD6F43"/>
    <w:rsid w:val="00B90D14"/>
    <w:rsid w:val="00BA7DA9"/>
    <w:rsid w:val="00BF01AB"/>
    <w:rsid w:val="00BF1371"/>
    <w:rsid w:val="00C65CC1"/>
    <w:rsid w:val="00C71D07"/>
    <w:rsid w:val="00CB590A"/>
    <w:rsid w:val="00CC6A7C"/>
    <w:rsid w:val="00D512C0"/>
    <w:rsid w:val="00D85B11"/>
    <w:rsid w:val="00D92E41"/>
    <w:rsid w:val="00D958CE"/>
    <w:rsid w:val="00DA51A0"/>
    <w:rsid w:val="00DE4F8E"/>
    <w:rsid w:val="00E26B85"/>
    <w:rsid w:val="00E4768A"/>
    <w:rsid w:val="00E64B9E"/>
    <w:rsid w:val="00EB5FD1"/>
    <w:rsid w:val="00F8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63B0C"/>
  <w15:chartTrackingRefBased/>
  <w15:docId w15:val="{BA105431-37D4-4D74-AD8F-B3127D0D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D9A"/>
  </w:style>
  <w:style w:type="paragraph" w:styleId="Footer">
    <w:name w:val="footer"/>
    <w:basedOn w:val="Normal"/>
    <w:link w:val="Foot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D9A"/>
  </w:style>
  <w:style w:type="character" w:customStyle="1" w:styleId="apple-converted-space">
    <w:name w:val="apple-converted-space"/>
    <w:basedOn w:val="DefaultParagraphFont"/>
    <w:rsid w:val="00155D9A"/>
  </w:style>
  <w:style w:type="character" w:styleId="Hyperlink">
    <w:name w:val="Hyperlink"/>
    <w:basedOn w:val="DefaultParagraphFont"/>
    <w:uiPriority w:val="99"/>
    <w:unhideWhenUsed/>
    <w:rsid w:val="00016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B5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269</Words>
  <Characters>1371</Characters>
  <Application>Microsoft Office Word</Application>
  <DocSecurity>0</DocSecurity>
  <Lines>24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Tietz, Wendy</cp:lastModifiedBy>
  <cp:revision>5</cp:revision>
  <dcterms:created xsi:type="dcterms:W3CDTF">2017-09-04T16:18:00Z</dcterms:created>
  <dcterms:modified xsi:type="dcterms:W3CDTF">2017-09-04T16:33:00Z</dcterms:modified>
</cp:coreProperties>
</file>