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428" w:rsidRPr="00746C13" w:rsidRDefault="00927EB1" w:rsidP="00746C13">
      <w:pPr>
        <w:jc w:val="both"/>
        <w:rPr>
          <w:rFonts w:ascii="Candara" w:hAnsi="Candara"/>
          <w:b/>
          <w:sz w:val="24"/>
        </w:rPr>
      </w:pPr>
      <w:bookmarkStart w:id="0" w:name="_GoBack"/>
      <w:bookmarkEnd w:id="0"/>
      <w:r w:rsidRPr="00746C13">
        <w:rPr>
          <w:rFonts w:ascii="Candara" w:hAnsi="Candara"/>
          <w:b/>
          <w:sz w:val="24"/>
        </w:rPr>
        <w:t xml:space="preserve">What does </w:t>
      </w:r>
      <w:r w:rsidR="00B2785D">
        <w:rPr>
          <w:rFonts w:ascii="Candara" w:hAnsi="Candara"/>
          <w:b/>
          <w:sz w:val="24"/>
        </w:rPr>
        <w:t>Huntington’s</w:t>
      </w:r>
      <w:r w:rsidRPr="00746C13">
        <w:rPr>
          <w:rFonts w:ascii="Candara" w:hAnsi="Candara"/>
          <w:b/>
          <w:sz w:val="24"/>
        </w:rPr>
        <w:t xml:space="preserve"> Form 10-K </w:t>
      </w:r>
      <w:r w:rsidR="00BD3757" w:rsidRPr="00746C13">
        <w:rPr>
          <w:rFonts w:ascii="Candara" w:hAnsi="Candara"/>
          <w:b/>
          <w:sz w:val="24"/>
        </w:rPr>
        <w:t>disclose</w:t>
      </w:r>
      <w:r w:rsidRPr="00746C13">
        <w:rPr>
          <w:rFonts w:ascii="Candara" w:hAnsi="Candara"/>
          <w:b/>
          <w:sz w:val="24"/>
        </w:rPr>
        <w:t xml:space="preserve"> about its </w:t>
      </w:r>
      <w:r w:rsidR="00B2785D">
        <w:rPr>
          <w:rFonts w:ascii="Candara" w:hAnsi="Candara"/>
          <w:b/>
          <w:sz w:val="24"/>
        </w:rPr>
        <w:t>loans</w:t>
      </w:r>
      <w:r w:rsidR="001A2D65">
        <w:rPr>
          <w:rFonts w:ascii="Candara" w:hAnsi="Candara"/>
          <w:b/>
          <w:sz w:val="24"/>
        </w:rPr>
        <w:t xml:space="preserve"> and leases (aka “receivables”)</w:t>
      </w:r>
      <w:r w:rsidR="00B2785D">
        <w:rPr>
          <w:rFonts w:ascii="Candara" w:hAnsi="Candara"/>
          <w:b/>
          <w:sz w:val="24"/>
        </w:rPr>
        <w:t xml:space="preserve"> and the related allowance accounts</w:t>
      </w:r>
      <w:r w:rsidRPr="00746C13">
        <w:rPr>
          <w:rFonts w:ascii="Candara" w:hAnsi="Candara"/>
          <w:b/>
          <w:sz w:val="24"/>
        </w:rPr>
        <w:t>?</w:t>
      </w:r>
    </w:p>
    <w:p w:rsidR="00C60BD9" w:rsidRDefault="00DC30DA" w:rsidP="00DC30DA">
      <w:pPr>
        <w:autoSpaceDE w:val="0"/>
        <w:autoSpaceDN w:val="0"/>
        <w:adjustRightInd w:val="0"/>
        <w:spacing w:after="0" w:line="240" w:lineRule="auto"/>
        <w:jc w:val="both"/>
        <w:rPr>
          <w:rFonts w:ascii="Candara" w:hAnsi="Candara"/>
        </w:rPr>
      </w:pPr>
      <w:r>
        <w:rPr>
          <w:rFonts w:ascii="Candara" w:hAnsi="Candara"/>
        </w:rPr>
        <w:t>Huntington Bancshares Incorporated (</w:t>
      </w:r>
      <w:r w:rsidR="005D4745">
        <w:rPr>
          <w:rFonts w:ascii="Candara" w:hAnsi="Candara"/>
        </w:rPr>
        <w:t>NASDAQ:</w:t>
      </w:r>
      <w:hyperlink r:id="rId7" w:history="1">
        <w:r w:rsidR="005D4745" w:rsidRPr="005D4745">
          <w:rPr>
            <w:rStyle w:val="Hyperlink"/>
            <w:rFonts w:ascii="Candara" w:hAnsi="Candara"/>
          </w:rPr>
          <w:t>HBAN</w:t>
        </w:r>
      </w:hyperlink>
      <w:r>
        <w:rPr>
          <w:rFonts w:ascii="Candara" w:hAnsi="Candara"/>
        </w:rPr>
        <w:t xml:space="preserve">) </w:t>
      </w:r>
      <w:r w:rsidR="005D4745">
        <w:rPr>
          <w:rFonts w:ascii="Candara" w:hAnsi="Candara"/>
        </w:rPr>
        <w:t xml:space="preserve">recently acquired the Ohio-based FirstMerit Corp., further increasing Huntington’s </w:t>
      </w:r>
      <w:r w:rsidR="00B2785D">
        <w:rPr>
          <w:rFonts w:ascii="Candara" w:hAnsi="Candara"/>
        </w:rPr>
        <w:t>market share across eight states in the Midwest: Ohio, Pennsylvania, West Virginia, Kentucky, Indiana, Michigan, Wisconsin, and Illinois.  It is now the 33</w:t>
      </w:r>
      <w:r w:rsidR="00B2785D" w:rsidRPr="00B2785D">
        <w:rPr>
          <w:rFonts w:ascii="Candara" w:hAnsi="Candara"/>
          <w:vertAlign w:val="superscript"/>
        </w:rPr>
        <w:t>rd</w:t>
      </w:r>
      <w:r w:rsidR="00B2785D">
        <w:rPr>
          <w:rFonts w:ascii="Candara" w:hAnsi="Candara"/>
        </w:rPr>
        <w:t xml:space="preserve"> largest bank holding company in the United States, according to the </w:t>
      </w:r>
      <w:hyperlink r:id="rId8" w:history="1">
        <w:r w:rsidR="00B2785D" w:rsidRPr="00B2785D">
          <w:rPr>
            <w:rStyle w:val="Hyperlink"/>
            <w:rFonts w:ascii="Candara" w:hAnsi="Candara"/>
          </w:rPr>
          <w:t>Federal Deposit Insurance Corporation (FDIC)</w:t>
        </w:r>
      </w:hyperlink>
      <w:r w:rsidR="00B2785D">
        <w:rPr>
          <w:rFonts w:ascii="Candara" w:hAnsi="Candara"/>
        </w:rPr>
        <w:t xml:space="preserve"> as of the second quarter of 2016. As a lending institution, Huntington has a portfolio of several types of loans.</w:t>
      </w:r>
    </w:p>
    <w:p w:rsidR="00B2785D" w:rsidRDefault="00B2785D" w:rsidP="00DC30DA">
      <w:pPr>
        <w:autoSpaceDE w:val="0"/>
        <w:autoSpaceDN w:val="0"/>
        <w:adjustRightInd w:val="0"/>
        <w:spacing w:after="0" w:line="240" w:lineRule="auto"/>
        <w:jc w:val="both"/>
        <w:rPr>
          <w:rFonts w:ascii="Candara" w:hAnsi="Candara"/>
        </w:rPr>
      </w:pPr>
    </w:p>
    <w:p w:rsidR="00B2785D" w:rsidRDefault="00B2785D" w:rsidP="00DC30DA">
      <w:pPr>
        <w:autoSpaceDE w:val="0"/>
        <w:autoSpaceDN w:val="0"/>
        <w:adjustRightInd w:val="0"/>
        <w:spacing w:after="0" w:line="240" w:lineRule="auto"/>
        <w:jc w:val="both"/>
        <w:rPr>
          <w:rFonts w:ascii="Candara" w:hAnsi="Candara"/>
        </w:rPr>
      </w:pPr>
      <w:r>
        <w:rPr>
          <w:rFonts w:ascii="Candara" w:hAnsi="Candara"/>
        </w:rPr>
        <w:t xml:space="preserve">To follow </w:t>
      </w:r>
      <w:r w:rsidR="007667FE">
        <w:rPr>
          <w:rFonts w:ascii="Candara" w:hAnsi="Candara"/>
        </w:rPr>
        <w:t xml:space="preserve">on the next page </w:t>
      </w:r>
      <w:r>
        <w:rPr>
          <w:rFonts w:ascii="Candara" w:hAnsi="Candara"/>
        </w:rPr>
        <w:t>are adapted excerpts from Huntington’s 2015 Form 10-k relating to its portfolio of loans and the related allowance accounts. These excerpts have been adapted for educational use and should not be relied upon for investment decisions.</w:t>
      </w:r>
    </w:p>
    <w:p w:rsidR="007667FE" w:rsidRDefault="007667FE" w:rsidP="00DC30DA">
      <w:pPr>
        <w:autoSpaceDE w:val="0"/>
        <w:autoSpaceDN w:val="0"/>
        <w:adjustRightInd w:val="0"/>
        <w:spacing w:after="0" w:line="240" w:lineRule="auto"/>
        <w:jc w:val="both"/>
        <w:rPr>
          <w:rFonts w:ascii="Candara" w:hAnsi="Candara"/>
        </w:rPr>
      </w:pPr>
    </w:p>
    <w:p w:rsidR="007667FE" w:rsidRPr="00D948DE" w:rsidRDefault="007667FE" w:rsidP="007667FE">
      <w:pPr>
        <w:autoSpaceDE w:val="0"/>
        <w:autoSpaceDN w:val="0"/>
        <w:adjustRightInd w:val="0"/>
        <w:spacing w:after="0" w:line="240" w:lineRule="auto"/>
        <w:jc w:val="both"/>
        <w:rPr>
          <w:rFonts w:ascii="Candara" w:hAnsi="Candara"/>
          <w:i/>
        </w:rPr>
      </w:pPr>
      <w:r w:rsidRPr="00D948DE">
        <w:rPr>
          <w:rFonts w:ascii="Candara" w:hAnsi="Candara"/>
          <w:i/>
        </w:rPr>
        <w:t xml:space="preserve">For the sake of brevity in the questions that follow, “loans and leases” will be referred to as simply “loans.” </w:t>
      </w:r>
    </w:p>
    <w:p w:rsidR="007667FE" w:rsidRDefault="007667FE" w:rsidP="007667FE">
      <w:pPr>
        <w:autoSpaceDE w:val="0"/>
        <w:autoSpaceDN w:val="0"/>
        <w:adjustRightInd w:val="0"/>
        <w:spacing w:after="0" w:line="240" w:lineRule="auto"/>
        <w:jc w:val="both"/>
        <w:rPr>
          <w:rFonts w:ascii="Candara" w:hAnsi="Candara"/>
          <w:b/>
        </w:rPr>
      </w:pPr>
    </w:p>
    <w:p w:rsidR="007667FE" w:rsidRPr="00746C13" w:rsidRDefault="007667FE" w:rsidP="007667FE">
      <w:pPr>
        <w:autoSpaceDE w:val="0"/>
        <w:autoSpaceDN w:val="0"/>
        <w:adjustRightInd w:val="0"/>
        <w:spacing w:after="0" w:line="240" w:lineRule="auto"/>
        <w:jc w:val="both"/>
        <w:rPr>
          <w:rFonts w:ascii="Candara" w:hAnsi="Candara"/>
          <w:b/>
        </w:rPr>
      </w:pPr>
      <w:r w:rsidRPr="00746C13">
        <w:rPr>
          <w:rFonts w:ascii="Candara" w:hAnsi="Candara"/>
          <w:b/>
        </w:rPr>
        <w:t>Questions</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What loan category is the largest category for Huntington according to the information provided from its Form 10-k for 2015 (Exhibit A)? What is the second largest? Third?</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Now look at the size of each of the allowance accounts relative to the total loan balance (the column on the far right in Exhibit A.  What is the largest allowance balance relative to the total loan balance? What is the second largest? Third?</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Compare your responses for Questions 1 and 2. Is there a mismatch? What does this information indicate to you?</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What is the overall net balance of loans as of December 31, 2015?</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What type of loans has the highest total past due percentage (see Exhibit B)? What type of loans has the highest 90 or more days past due percentage (see Exhibit B)? Why would Huntington show the past due amounts in three separate categories: 30 – 59 days, 60 – 89 days, and 90 or more days? How does this information compare with your responses to Questions 1 and 2?</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Now examine Exhibit C. What types of loans had the related allowance account increase during 2015? What types had the related allowance account decrease during the year?</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In Exhibit C, how would “loan charge-offs” have impacted the balance sheet and income statement for 2015? What accounts would have increased and decreased?</w:t>
      </w:r>
    </w:p>
    <w:p w:rsidR="007667FE" w:rsidRDefault="007667FE" w:rsidP="007667FE">
      <w:pPr>
        <w:pStyle w:val="ListParagraph"/>
        <w:numPr>
          <w:ilvl w:val="0"/>
          <w:numId w:val="1"/>
        </w:numPr>
        <w:autoSpaceDE w:val="0"/>
        <w:autoSpaceDN w:val="0"/>
        <w:adjustRightInd w:val="0"/>
        <w:spacing w:after="0" w:line="240" w:lineRule="auto"/>
        <w:jc w:val="both"/>
        <w:rPr>
          <w:rFonts w:ascii="Candara" w:hAnsi="Candara"/>
        </w:rPr>
      </w:pPr>
      <w:r>
        <w:rPr>
          <w:rFonts w:ascii="Candara" w:hAnsi="Candara"/>
        </w:rPr>
        <w:t>In Exhibit C, how would “recoveries of loans previously charged off” have impacted the balance sheet and income statement for 2015? What accounts would have increased and decreased?</w:t>
      </w:r>
      <w:r w:rsidRPr="003B1203">
        <w:rPr>
          <w:rFonts w:ascii="Candara" w:hAnsi="Candara"/>
        </w:rPr>
        <w:t xml:space="preserve"> </w:t>
      </w:r>
    </w:p>
    <w:p w:rsidR="007667FE" w:rsidRPr="003B1203" w:rsidRDefault="007667FE" w:rsidP="007667FE">
      <w:pPr>
        <w:pStyle w:val="ListParagraph"/>
        <w:numPr>
          <w:ilvl w:val="0"/>
          <w:numId w:val="1"/>
        </w:numPr>
        <w:autoSpaceDE w:val="0"/>
        <w:autoSpaceDN w:val="0"/>
        <w:adjustRightInd w:val="0"/>
        <w:spacing w:after="0" w:line="240" w:lineRule="auto"/>
        <w:jc w:val="both"/>
        <w:rPr>
          <w:rFonts w:ascii="Candara" w:hAnsi="Candara"/>
        </w:rPr>
      </w:pPr>
      <w:r w:rsidRPr="003B1203">
        <w:rPr>
          <w:rFonts w:ascii="Candara" w:hAnsi="Candara"/>
        </w:rPr>
        <w:t xml:space="preserve">Also in Exhibit C, how would the </w:t>
      </w:r>
      <w:r>
        <w:rPr>
          <w:rFonts w:ascii="Candara" w:hAnsi="Candara"/>
        </w:rPr>
        <w:t>“</w:t>
      </w:r>
      <w:r w:rsidRPr="003B1203">
        <w:rPr>
          <w:rFonts w:ascii="Candara" w:hAnsi="Candara"/>
        </w:rPr>
        <w:t>provision for loan and lease losses</w:t>
      </w:r>
      <w:r>
        <w:rPr>
          <w:rFonts w:ascii="Candara" w:hAnsi="Candara"/>
        </w:rPr>
        <w:t>”</w:t>
      </w:r>
      <w:r w:rsidRPr="003B1203">
        <w:rPr>
          <w:rFonts w:ascii="Candara" w:hAnsi="Candara"/>
        </w:rPr>
        <w:t xml:space="preserve"> </w:t>
      </w:r>
      <w:r>
        <w:rPr>
          <w:rFonts w:ascii="Candara" w:hAnsi="Candara"/>
        </w:rPr>
        <w:t xml:space="preserve">usually </w:t>
      </w:r>
      <w:r w:rsidRPr="003B1203">
        <w:rPr>
          <w:rFonts w:ascii="Candara" w:hAnsi="Candara"/>
        </w:rPr>
        <w:t>have impacted the balance sheet and income statement for 2015? What accounts would have increased and decreased? Why is the provision for loan and lease losses negative during 2015?</w:t>
      </w:r>
    </w:p>
    <w:p w:rsidR="007667FE" w:rsidRDefault="007667FE" w:rsidP="00DC30DA">
      <w:pPr>
        <w:autoSpaceDE w:val="0"/>
        <w:autoSpaceDN w:val="0"/>
        <w:adjustRightInd w:val="0"/>
        <w:spacing w:after="0" w:line="240" w:lineRule="auto"/>
        <w:jc w:val="both"/>
        <w:rPr>
          <w:rFonts w:ascii="Candara" w:hAnsi="Candara"/>
        </w:rPr>
      </w:pPr>
    </w:p>
    <w:p w:rsidR="00B2785D" w:rsidRDefault="00B2785D" w:rsidP="00DC30DA">
      <w:pPr>
        <w:autoSpaceDE w:val="0"/>
        <w:autoSpaceDN w:val="0"/>
        <w:adjustRightInd w:val="0"/>
        <w:spacing w:after="0" w:line="240" w:lineRule="auto"/>
        <w:jc w:val="both"/>
        <w:rPr>
          <w:rFonts w:ascii="Candara" w:hAnsi="Candara"/>
        </w:rPr>
      </w:pPr>
    </w:p>
    <w:p w:rsidR="007667FE" w:rsidRDefault="007667FE">
      <w:pPr>
        <w:rPr>
          <w:rFonts w:ascii="Candara" w:hAnsi="Candara"/>
          <w:b/>
          <w:i/>
        </w:rPr>
      </w:pPr>
      <w:r>
        <w:rPr>
          <w:rFonts w:ascii="Candara" w:hAnsi="Candara"/>
          <w:b/>
          <w:i/>
        </w:rPr>
        <w:br w:type="page"/>
      </w:r>
    </w:p>
    <w:p w:rsidR="00B2785D" w:rsidRPr="007667FE" w:rsidRDefault="00814174" w:rsidP="00DC30DA">
      <w:pPr>
        <w:autoSpaceDE w:val="0"/>
        <w:autoSpaceDN w:val="0"/>
        <w:adjustRightInd w:val="0"/>
        <w:spacing w:after="0" w:line="240" w:lineRule="auto"/>
        <w:jc w:val="both"/>
        <w:rPr>
          <w:rFonts w:ascii="Candara" w:hAnsi="Candara" w:cs="Times New Roman"/>
          <w:b/>
          <w:i/>
          <w:sz w:val="18"/>
          <w:szCs w:val="18"/>
        </w:rPr>
      </w:pPr>
      <w:r w:rsidRPr="007667FE">
        <w:rPr>
          <w:rFonts w:ascii="Candara" w:hAnsi="Candara" w:cs="Times New Roman"/>
          <w:b/>
          <w:i/>
          <w:sz w:val="18"/>
          <w:szCs w:val="18"/>
        </w:rPr>
        <w:lastRenderedPageBreak/>
        <w:t>Exhibit A:</w:t>
      </w:r>
    </w:p>
    <w:p w:rsidR="00F0393D" w:rsidRDefault="00F0393D" w:rsidP="00DC30DA">
      <w:pPr>
        <w:autoSpaceDE w:val="0"/>
        <w:autoSpaceDN w:val="0"/>
        <w:adjustRightInd w:val="0"/>
        <w:spacing w:after="0" w:line="240" w:lineRule="auto"/>
        <w:jc w:val="both"/>
        <w:rPr>
          <w:rFonts w:ascii="Candara" w:hAnsi="Candara"/>
          <w:b/>
          <w:i/>
        </w:rPr>
      </w:pPr>
      <w:r>
        <w:rPr>
          <w:noProof/>
        </w:rPr>
        <w:drawing>
          <wp:inline distT="0" distB="0" distL="0" distR="0" wp14:anchorId="2717CCB5" wp14:editId="04E1A1C7">
            <wp:extent cx="5943600" cy="24428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442845"/>
                    </a:xfrm>
                    <a:prstGeom prst="rect">
                      <a:avLst/>
                    </a:prstGeom>
                  </pic:spPr>
                </pic:pic>
              </a:graphicData>
            </a:graphic>
          </wp:inline>
        </w:drawing>
      </w:r>
    </w:p>
    <w:p w:rsidR="00F0393D" w:rsidRDefault="00F0393D" w:rsidP="00DC30DA">
      <w:pPr>
        <w:autoSpaceDE w:val="0"/>
        <w:autoSpaceDN w:val="0"/>
        <w:adjustRightInd w:val="0"/>
        <w:spacing w:after="0" w:line="240" w:lineRule="auto"/>
        <w:jc w:val="both"/>
        <w:rPr>
          <w:rFonts w:ascii="Candara" w:hAnsi="Candara"/>
          <w:b/>
          <w:i/>
        </w:rPr>
      </w:pPr>
    </w:p>
    <w:p w:rsidR="00814174" w:rsidRPr="00814174" w:rsidRDefault="00814174" w:rsidP="00DC30DA">
      <w:pPr>
        <w:autoSpaceDE w:val="0"/>
        <w:autoSpaceDN w:val="0"/>
        <w:adjustRightInd w:val="0"/>
        <w:spacing w:after="0" w:line="240" w:lineRule="auto"/>
        <w:jc w:val="both"/>
        <w:rPr>
          <w:rFonts w:ascii="Candara" w:hAnsi="Candara" w:cs="Times New Roman"/>
          <w:b/>
          <w:i/>
          <w:sz w:val="18"/>
          <w:szCs w:val="18"/>
        </w:rPr>
      </w:pPr>
      <w:r w:rsidRPr="00814174">
        <w:rPr>
          <w:rFonts w:ascii="Candara" w:hAnsi="Candara" w:cs="Times New Roman"/>
          <w:b/>
          <w:i/>
          <w:sz w:val="18"/>
          <w:szCs w:val="18"/>
        </w:rPr>
        <w:t>Exhibit B:</w:t>
      </w:r>
    </w:p>
    <w:p w:rsidR="00814174" w:rsidRDefault="00A8343B" w:rsidP="00DC30DA">
      <w:pPr>
        <w:autoSpaceDE w:val="0"/>
        <w:autoSpaceDN w:val="0"/>
        <w:adjustRightInd w:val="0"/>
        <w:spacing w:after="0" w:line="240" w:lineRule="auto"/>
        <w:jc w:val="both"/>
        <w:rPr>
          <w:rFonts w:ascii="Candara" w:hAnsi="Candara" w:cs="Times New Roman"/>
          <w:sz w:val="18"/>
          <w:szCs w:val="18"/>
        </w:rPr>
      </w:pPr>
      <w:r>
        <w:rPr>
          <w:noProof/>
        </w:rPr>
        <w:drawing>
          <wp:inline distT="0" distB="0" distL="0" distR="0" wp14:anchorId="502E6981" wp14:editId="63B08077">
            <wp:extent cx="5943600" cy="2460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460625"/>
                    </a:xfrm>
                    <a:prstGeom prst="rect">
                      <a:avLst/>
                    </a:prstGeom>
                  </pic:spPr>
                </pic:pic>
              </a:graphicData>
            </a:graphic>
          </wp:inline>
        </w:drawing>
      </w:r>
    </w:p>
    <w:p w:rsidR="00814174" w:rsidRDefault="00814174" w:rsidP="00DC30DA">
      <w:pPr>
        <w:autoSpaceDE w:val="0"/>
        <w:autoSpaceDN w:val="0"/>
        <w:adjustRightInd w:val="0"/>
        <w:spacing w:after="0" w:line="240" w:lineRule="auto"/>
        <w:jc w:val="both"/>
        <w:rPr>
          <w:rFonts w:ascii="Candara" w:hAnsi="Candara" w:cs="Times New Roman"/>
          <w:sz w:val="18"/>
          <w:szCs w:val="18"/>
        </w:rPr>
      </w:pPr>
    </w:p>
    <w:p w:rsidR="00814174" w:rsidRPr="00814174" w:rsidRDefault="00814174" w:rsidP="00DC30DA">
      <w:pPr>
        <w:autoSpaceDE w:val="0"/>
        <w:autoSpaceDN w:val="0"/>
        <w:adjustRightInd w:val="0"/>
        <w:spacing w:after="0" w:line="240" w:lineRule="auto"/>
        <w:jc w:val="both"/>
        <w:rPr>
          <w:rFonts w:ascii="Candara" w:hAnsi="Candara" w:cs="Times New Roman"/>
          <w:b/>
          <w:i/>
          <w:sz w:val="18"/>
          <w:szCs w:val="18"/>
        </w:rPr>
      </w:pPr>
      <w:r w:rsidRPr="00814174">
        <w:rPr>
          <w:rFonts w:ascii="Candara" w:hAnsi="Candara" w:cs="Times New Roman"/>
          <w:b/>
          <w:i/>
          <w:sz w:val="18"/>
          <w:szCs w:val="18"/>
        </w:rPr>
        <w:t>Exhibit C:</w:t>
      </w:r>
    </w:p>
    <w:p w:rsidR="00814174" w:rsidRPr="00746C13" w:rsidRDefault="00814174" w:rsidP="00DC30DA">
      <w:pPr>
        <w:autoSpaceDE w:val="0"/>
        <w:autoSpaceDN w:val="0"/>
        <w:adjustRightInd w:val="0"/>
        <w:spacing w:after="0" w:line="240" w:lineRule="auto"/>
        <w:jc w:val="both"/>
        <w:rPr>
          <w:rFonts w:ascii="Candara" w:hAnsi="Candara" w:cs="Times New Roman"/>
          <w:sz w:val="18"/>
          <w:szCs w:val="18"/>
        </w:rPr>
      </w:pPr>
      <w:r w:rsidRPr="00814174">
        <w:rPr>
          <w:noProof/>
        </w:rPr>
        <w:drawing>
          <wp:inline distT="0" distB="0" distL="0" distR="0">
            <wp:extent cx="5943600" cy="221335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213357"/>
                    </a:xfrm>
                    <a:prstGeom prst="rect">
                      <a:avLst/>
                    </a:prstGeom>
                    <a:noFill/>
                    <a:ln>
                      <a:noFill/>
                    </a:ln>
                  </pic:spPr>
                </pic:pic>
              </a:graphicData>
            </a:graphic>
          </wp:inline>
        </w:drawing>
      </w:r>
    </w:p>
    <w:p w:rsidR="00746C13" w:rsidRDefault="00746C13" w:rsidP="00746C13">
      <w:pPr>
        <w:autoSpaceDE w:val="0"/>
        <w:autoSpaceDN w:val="0"/>
        <w:adjustRightInd w:val="0"/>
        <w:spacing w:after="0" w:line="240" w:lineRule="auto"/>
        <w:jc w:val="both"/>
        <w:rPr>
          <w:rFonts w:ascii="Candara" w:hAnsi="Candara"/>
          <w:b/>
        </w:rPr>
      </w:pPr>
    </w:p>
    <w:sectPr w:rsidR="00746C13">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47D0" w:rsidRDefault="00D647D0" w:rsidP="001918C1">
      <w:pPr>
        <w:spacing w:after="0" w:line="240" w:lineRule="auto"/>
      </w:pPr>
      <w:r>
        <w:separator/>
      </w:r>
    </w:p>
  </w:endnote>
  <w:endnote w:type="continuationSeparator" w:id="0">
    <w:p w:rsidR="00D647D0" w:rsidRDefault="00D647D0" w:rsidP="001918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18C1" w:rsidRDefault="001918C1" w:rsidP="001918C1">
    <w:pPr>
      <w:pStyle w:val="Footer"/>
      <w:jc w:val="center"/>
      <w:rPr>
        <w:rFonts w:ascii="Georgia" w:hAnsi="Georgia"/>
        <w:color w:val="333333"/>
        <w:sz w:val="18"/>
        <w:shd w:val="clear" w:color="auto" w:fill="FFFFFF"/>
      </w:rPr>
    </w:pPr>
    <w:r>
      <w:rPr>
        <w:rFonts w:ascii="Georgia" w:hAnsi="Georgia"/>
        <w:color w:val="333333"/>
        <w:sz w:val="18"/>
        <w:shd w:val="clear" w:color="auto" w:fill="FFFFFF"/>
      </w:rPr>
      <w:t xml:space="preserve">Source: Wendy Tietz, PhD, CPA, CMA, AccountingintheHeadlines.com </w:t>
    </w:r>
  </w:p>
  <w:p w:rsidR="001918C1" w:rsidRPr="001918C1" w:rsidRDefault="001918C1" w:rsidP="001918C1">
    <w:pPr>
      <w:pStyle w:val="Footer"/>
      <w:jc w:val="center"/>
      <w:rPr>
        <w:i/>
        <w:sz w:val="18"/>
      </w:rPr>
    </w:pPr>
    <w:r>
      <w:rPr>
        <w:rFonts w:ascii="Georgia" w:hAnsi="Georgia"/>
        <w:i/>
        <w:color w:val="333333"/>
        <w:sz w:val="18"/>
        <w:shd w:val="clear" w:color="auto" w:fill="FFFFFF"/>
      </w:rPr>
      <w:t>This work is licensed under a</w:t>
    </w:r>
    <w:r>
      <w:rPr>
        <w:rStyle w:val="apple-converted-space"/>
        <w:rFonts w:ascii="Georgia" w:hAnsi="Georgia"/>
        <w:i/>
        <w:color w:val="333333"/>
        <w:sz w:val="18"/>
        <w:shd w:val="clear" w:color="auto" w:fill="FFFFFF"/>
      </w:rPr>
      <w:t> </w:t>
    </w:r>
    <w:r>
      <w:rPr>
        <w:rFonts w:ascii="Georgia" w:hAnsi="Georgia"/>
        <w:i/>
        <w:sz w:val="18"/>
        <w:shd w:val="clear" w:color="auto" w:fill="FFFFFF"/>
      </w:rPr>
      <w:t>Creative Commons Attribution-</w:t>
    </w:r>
    <w:proofErr w:type="spellStart"/>
    <w:r>
      <w:rPr>
        <w:rFonts w:ascii="Georgia" w:hAnsi="Georgia"/>
        <w:i/>
        <w:sz w:val="18"/>
        <w:shd w:val="clear" w:color="auto" w:fill="FFFFFF"/>
      </w:rPr>
      <w:t>NonCommercial</w:t>
    </w:r>
    <w:proofErr w:type="spellEnd"/>
    <w:r>
      <w:rPr>
        <w:rFonts w:ascii="Georgia" w:hAnsi="Georgia"/>
        <w:i/>
        <w:sz w:val="18"/>
        <w:shd w:val="clear" w:color="auto" w:fill="FFFFFF"/>
      </w:rPr>
      <w:t xml:space="preserve"> 3.0 </w:t>
    </w:r>
    <w:proofErr w:type="spellStart"/>
    <w:r>
      <w:rPr>
        <w:rFonts w:ascii="Georgia" w:hAnsi="Georgia"/>
        <w:i/>
        <w:sz w:val="18"/>
        <w:shd w:val="clear" w:color="auto" w:fill="FFFFFF"/>
      </w:rPr>
      <w:t>Unported</w:t>
    </w:r>
    <w:proofErr w:type="spellEnd"/>
    <w:r>
      <w:rPr>
        <w:rFonts w:ascii="Georgia" w:hAnsi="Georgia"/>
        <w:i/>
        <w:sz w:val="18"/>
        <w:shd w:val="clear" w:color="auto" w:fill="FFFFFF"/>
      </w:rPr>
      <w:t xml:space="preserve"> License</w:t>
    </w:r>
    <w:r>
      <w:rPr>
        <w:rFonts w:ascii="Georgia" w:hAnsi="Georgia"/>
        <w:i/>
        <w:color w:val="333333"/>
        <w:sz w:val="18"/>
        <w:shd w:val="clear" w:color="auto" w:fill="FFFFF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47D0" w:rsidRDefault="00D647D0" w:rsidP="001918C1">
      <w:pPr>
        <w:spacing w:after="0" w:line="240" w:lineRule="auto"/>
      </w:pPr>
      <w:r>
        <w:separator/>
      </w:r>
    </w:p>
  </w:footnote>
  <w:footnote w:type="continuationSeparator" w:id="0">
    <w:p w:rsidR="00D647D0" w:rsidRDefault="00D647D0" w:rsidP="001918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FD6C0C"/>
    <w:multiLevelType w:val="hybridMultilevel"/>
    <w:tmpl w:val="49FCC4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EB1"/>
    <w:rsid w:val="00150F54"/>
    <w:rsid w:val="001918C1"/>
    <w:rsid w:val="001A2D65"/>
    <w:rsid w:val="00264F96"/>
    <w:rsid w:val="003B1203"/>
    <w:rsid w:val="00401C12"/>
    <w:rsid w:val="004D1179"/>
    <w:rsid w:val="005456EF"/>
    <w:rsid w:val="005D4745"/>
    <w:rsid w:val="00746C13"/>
    <w:rsid w:val="007667FE"/>
    <w:rsid w:val="00814174"/>
    <w:rsid w:val="00927EB1"/>
    <w:rsid w:val="009B5938"/>
    <w:rsid w:val="00A640D6"/>
    <w:rsid w:val="00A8343B"/>
    <w:rsid w:val="00A854E7"/>
    <w:rsid w:val="00B2785D"/>
    <w:rsid w:val="00BD3757"/>
    <w:rsid w:val="00BE2447"/>
    <w:rsid w:val="00C33428"/>
    <w:rsid w:val="00C60BD9"/>
    <w:rsid w:val="00D647D0"/>
    <w:rsid w:val="00D948DE"/>
    <w:rsid w:val="00DC30DA"/>
    <w:rsid w:val="00E02102"/>
    <w:rsid w:val="00F0393D"/>
    <w:rsid w:val="00FE5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DCAAD-5427-487C-972A-3FEB142D0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64F96"/>
    <w:rPr>
      <w:color w:val="0563C1" w:themeColor="hyperlink"/>
      <w:u w:val="single"/>
    </w:rPr>
  </w:style>
  <w:style w:type="paragraph" w:styleId="Header">
    <w:name w:val="header"/>
    <w:basedOn w:val="Normal"/>
    <w:link w:val="HeaderChar"/>
    <w:uiPriority w:val="99"/>
    <w:unhideWhenUsed/>
    <w:rsid w:val="001918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8C1"/>
  </w:style>
  <w:style w:type="paragraph" w:styleId="Footer">
    <w:name w:val="footer"/>
    <w:basedOn w:val="Normal"/>
    <w:link w:val="FooterChar"/>
    <w:uiPriority w:val="99"/>
    <w:unhideWhenUsed/>
    <w:rsid w:val="001918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8C1"/>
  </w:style>
  <w:style w:type="character" w:customStyle="1" w:styleId="apple-converted-space">
    <w:name w:val="apple-converted-space"/>
    <w:basedOn w:val="DefaultParagraphFont"/>
    <w:rsid w:val="001918C1"/>
  </w:style>
  <w:style w:type="paragraph" w:styleId="ListParagraph">
    <w:name w:val="List Paragraph"/>
    <w:basedOn w:val="Normal"/>
    <w:uiPriority w:val="34"/>
    <w:qFormat/>
    <w:rsid w:val="00DC30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ba.com/Tools/Research/Documents/LargestInstitutionsbyAssetSize.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untington-ir.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2464</Characters>
  <Application>Microsoft Office Word</Application>
  <DocSecurity>0</DocSecurity>
  <Lines>53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2</cp:revision>
  <dcterms:created xsi:type="dcterms:W3CDTF">2016-10-07T14:50:00Z</dcterms:created>
  <dcterms:modified xsi:type="dcterms:W3CDTF">2016-10-07T14:50:00Z</dcterms:modified>
</cp:coreProperties>
</file>