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E74FD1" w14:textId="2A0E058C" w:rsidR="00EF53D6" w:rsidRDefault="00EF53D6">
      <w:pPr>
        <w:spacing w:after="160" w:line="259" w:lineRule="auto"/>
      </w:pPr>
      <w:r>
        <w:rPr>
          <w:rFonts w:ascii="Times New Roman" w:hAnsi="Times New Roman"/>
          <w:noProof/>
          <w:color w:val="auto"/>
          <w:kern w:val="0"/>
          <w:sz w:val="24"/>
          <w:szCs w:val="24"/>
        </w:rPr>
        <mc:AlternateContent>
          <mc:Choice Requires="wps">
            <w:drawing>
              <wp:anchor distT="36576" distB="36576" distL="36576" distR="36576" simplePos="0" relativeHeight="251683840" behindDoc="0" locked="0" layoutInCell="1" allowOverlap="1" wp14:anchorId="7E5D301F" wp14:editId="7BBEF6DF">
                <wp:simplePos x="0" y="0"/>
                <wp:positionH relativeFrom="margin">
                  <wp:posOffset>-457200</wp:posOffset>
                </wp:positionH>
                <wp:positionV relativeFrom="page">
                  <wp:posOffset>2514600</wp:posOffset>
                </wp:positionV>
                <wp:extent cx="6926580" cy="6271260"/>
                <wp:effectExtent l="0" t="0" r="7620" b="254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6580" cy="627126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53B85704" w14:textId="77777777" w:rsidR="00EF53D6" w:rsidRDefault="00EF53D6" w:rsidP="00EF53D6">
                            <w:pPr>
                              <w:pStyle w:val="NormalWeb"/>
                              <w:spacing w:before="2" w:after="2" w:line="360" w:lineRule="atLeast"/>
                              <w:rPr>
                                <w:rStyle w:val="Emphasis"/>
                                <w:rFonts w:ascii="Georgia" w:hAnsi="Georgia"/>
                                <w:color w:val="333333"/>
                                <w:sz w:val="24"/>
                                <w:szCs w:val="24"/>
                              </w:rPr>
                            </w:pPr>
                            <w:r>
                              <w:rPr>
                                <w:rFonts w:ascii="Georgia" w:hAnsi="Georgia"/>
                                <w:color w:val="333333"/>
                                <w:sz w:val="24"/>
                                <w:szCs w:val="24"/>
                              </w:rPr>
                              <w:t>Over the past year, The Walt Disney Company (</w:t>
                            </w:r>
                            <w:hyperlink r:id="rId9" w:history="1">
                              <w:r>
                                <w:rPr>
                                  <w:rStyle w:val="Hyperlink"/>
                                  <w:rFonts w:ascii="Georgia" w:hAnsi="Georgia"/>
                                  <w:sz w:val="24"/>
                                  <w:szCs w:val="24"/>
                                </w:rPr>
                                <w:t>DIS</w:t>
                              </w:r>
                            </w:hyperlink>
                            <w:r>
                              <w:rPr>
                                <w:rFonts w:ascii="Georgia" w:hAnsi="Georgia"/>
                                <w:color w:val="333333"/>
                                <w:sz w:val="24"/>
                                <w:szCs w:val="24"/>
                              </w:rPr>
                              <w:t>) has made the news because it increased its ticket prices at Walt Disney World in Florida, Disneyland Park in California, and other parks around the world.  Ticket revenue, however, is not its only source of revenue. The following is an excerpt from the Notes to Consolidated Financial Statements in</w:t>
                            </w:r>
                            <w:r>
                              <w:rPr>
                                <w:rStyle w:val="apple-converted-space"/>
                                <w:rFonts w:ascii="Georgia" w:hAnsi="Georgia"/>
                                <w:color w:val="333333"/>
                                <w:sz w:val="24"/>
                                <w:szCs w:val="24"/>
                              </w:rPr>
                              <w:t> </w:t>
                            </w:r>
                            <w:hyperlink r:id="rId10" w:history="1">
                              <w:r>
                                <w:rPr>
                                  <w:rStyle w:val="Hyperlink"/>
                                  <w:rFonts w:ascii="Georgia" w:hAnsi="Georgia"/>
                                  <w:sz w:val="24"/>
                                  <w:szCs w:val="24"/>
                                </w:rPr>
                                <w:t>Walt Disney’s Form 10-K</w:t>
                              </w:r>
                            </w:hyperlink>
                            <w:r>
                              <w:rPr>
                                <w:rStyle w:val="apple-converted-space"/>
                                <w:rFonts w:ascii="Georgia" w:hAnsi="Georgia"/>
                                <w:color w:val="333333"/>
                                <w:sz w:val="24"/>
                                <w:szCs w:val="24"/>
                              </w:rPr>
                              <w:t> </w:t>
                            </w:r>
                            <w:r>
                              <w:rPr>
                                <w:rFonts w:ascii="Georgia" w:hAnsi="Georgia"/>
                                <w:color w:val="333333"/>
                                <w:sz w:val="24"/>
                                <w:szCs w:val="24"/>
                              </w:rPr>
                              <w:t>for the fiscal year ended September 24, 2014, pages 74 – 75. </w:t>
                            </w:r>
                            <w:r>
                              <w:rPr>
                                <w:rStyle w:val="apple-converted-space"/>
                                <w:rFonts w:ascii="Georgia" w:hAnsi="Georgia"/>
                                <w:color w:val="333333"/>
                                <w:sz w:val="24"/>
                                <w:szCs w:val="24"/>
                              </w:rPr>
                              <w:t> </w:t>
                            </w:r>
                            <w:r>
                              <w:rPr>
                                <w:rStyle w:val="Emphasis"/>
                                <w:rFonts w:ascii="Georgia" w:hAnsi="Georgia"/>
                                <w:color w:val="333333"/>
                                <w:sz w:val="24"/>
                                <w:szCs w:val="24"/>
                              </w:rPr>
                              <w:t>(Note: Paragraph numbers added by author.)</w:t>
                            </w:r>
                          </w:p>
                          <w:p w14:paraId="61EF072C" w14:textId="77777777" w:rsidR="00EF53D6" w:rsidRDefault="00EF53D6" w:rsidP="00EF53D6">
                            <w:pPr>
                              <w:pStyle w:val="NormalWeb"/>
                              <w:spacing w:before="2" w:after="2" w:line="360" w:lineRule="atLeast"/>
                              <w:rPr>
                                <w:rFonts w:ascii="Georgia" w:hAnsi="Georgia"/>
                                <w:color w:val="333333"/>
                                <w:sz w:val="24"/>
                                <w:szCs w:val="24"/>
                              </w:rPr>
                            </w:pPr>
                          </w:p>
                          <w:p w14:paraId="29F31135" w14:textId="77777777" w:rsidR="00EF53D6" w:rsidRDefault="00EF53D6" w:rsidP="00EF53D6">
                            <w:pPr>
                              <w:pStyle w:val="NormalWeb"/>
                              <w:spacing w:before="2" w:after="2" w:line="360" w:lineRule="atLeast"/>
                              <w:rPr>
                                <w:rFonts w:ascii="Georgia" w:hAnsi="Georgia"/>
                                <w:color w:val="333333"/>
                                <w:sz w:val="24"/>
                                <w:szCs w:val="24"/>
                              </w:rPr>
                            </w:pPr>
                            <w:r>
                              <w:rPr>
                                <w:rStyle w:val="Strong"/>
                                <w:rFonts w:ascii="Georgia" w:hAnsi="Georgia"/>
                                <w:color w:val="333333"/>
                                <w:sz w:val="24"/>
                                <w:szCs w:val="24"/>
                              </w:rPr>
                              <w:t>(Paragraph 1)</w:t>
                            </w:r>
                            <w:r>
                              <w:rPr>
                                <w:rStyle w:val="apple-converted-space"/>
                                <w:rFonts w:ascii="Georgia" w:hAnsi="Georgia"/>
                                <w:color w:val="333333"/>
                                <w:sz w:val="24"/>
                                <w:szCs w:val="24"/>
                              </w:rPr>
                              <w:t> </w:t>
                            </w:r>
                            <w:r>
                              <w:rPr>
                                <w:rFonts w:ascii="Georgia" w:hAnsi="Georgia"/>
                                <w:color w:val="333333"/>
                                <w:sz w:val="24"/>
                                <w:szCs w:val="24"/>
                              </w:rPr>
                              <w:t>Television advertising revenues are recognized when commercials are aired. Revenues from television subscription services related to the Company’s primary cable programming services are recognized as services are provided. Certain of the Company’s contracts with cable and satellite operators include annual programming commitments. In these cases, recognition of revenues subject to the commitments is deferred until the annual commitments are satisfied, which generally results in higher revenue recognition in the second half of the year.</w:t>
                            </w:r>
                          </w:p>
                          <w:p w14:paraId="6CE7D925" w14:textId="77777777" w:rsidR="00EF53D6" w:rsidRDefault="00EF53D6" w:rsidP="00EF53D6">
                            <w:pPr>
                              <w:pStyle w:val="NormalWeb"/>
                              <w:spacing w:before="2" w:after="2" w:line="360" w:lineRule="atLeast"/>
                              <w:rPr>
                                <w:rFonts w:ascii="Georgia" w:hAnsi="Georgia"/>
                                <w:color w:val="333333"/>
                                <w:sz w:val="24"/>
                                <w:szCs w:val="24"/>
                              </w:rPr>
                            </w:pPr>
                          </w:p>
                          <w:p w14:paraId="158257CE" w14:textId="77777777" w:rsidR="00EF53D6" w:rsidRDefault="00EF53D6" w:rsidP="00EF53D6">
                            <w:pPr>
                              <w:pStyle w:val="NormalWeb"/>
                              <w:spacing w:before="2" w:after="2" w:line="360" w:lineRule="atLeast"/>
                              <w:rPr>
                                <w:rFonts w:ascii="Georgia" w:hAnsi="Georgia"/>
                                <w:color w:val="333333"/>
                                <w:sz w:val="24"/>
                                <w:szCs w:val="24"/>
                              </w:rPr>
                            </w:pPr>
                            <w:r>
                              <w:rPr>
                                <w:rStyle w:val="Strong"/>
                                <w:rFonts w:ascii="Georgia" w:hAnsi="Georgia"/>
                                <w:color w:val="333333"/>
                                <w:sz w:val="24"/>
                                <w:szCs w:val="24"/>
                              </w:rPr>
                              <w:t>(Paragraph 2)</w:t>
                            </w:r>
                            <w:r>
                              <w:rPr>
                                <w:rStyle w:val="apple-converted-space"/>
                                <w:rFonts w:ascii="Georgia" w:hAnsi="Georgia"/>
                                <w:color w:val="333333"/>
                                <w:sz w:val="24"/>
                                <w:szCs w:val="24"/>
                              </w:rPr>
                              <w:t> </w:t>
                            </w:r>
                            <w:r>
                              <w:rPr>
                                <w:rFonts w:ascii="Georgia" w:hAnsi="Georgia"/>
                                <w:color w:val="333333"/>
                                <w:sz w:val="24"/>
                                <w:szCs w:val="24"/>
                              </w:rPr>
                              <w:t>Revenues from advance theme park ticket sales are recognized when the tickets are used. Revenues from expiring multi-use tickets are recognized ratably over the estimated usage period. For non-expiring, multi-day tickets, revenues are recognized over a five-year time period based on estimated usage. The estimated usage periods are derived from historical usage patterns.</w:t>
                            </w:r>
                          </w:p>
                          <w:p w14:paraId="446F3AF3" w14:textId="77777777" w:rsidR="00EF53D6" w:rsidRDefault="00EF53D6" w:rsidP="00EF53D6">
                            <w:pPr>
                              <w:pStyle w:val="NormalWeb"/>
                              <w:spacing w:before="2" w:after="2" w:line="360" w:lineRule="atLeast"/>
                              <w:rPr>
                                <w:rFonts w:ascii="Georgia" w:hAnsi="Georgia"/>
                                <w:color w:val="333333"/>
                                <w:sz w:val="24"/>
                                <w:szCs w:val="24"/>
                              </w:rPr>
                            </w:pPr>
                          </w:p>
                          <w:p w14:paraId="7A355032" w14:textId="77777777" w:rsidR="00EF53D6" w:rsidRPr="00D97637" w:rsidRDefault="00EF53D6" w:rsidP="00EF53D6">
                            <w:pPr>
                              <w:spacing w:after="0" w:line="360" w:lineRule="atLeast"/>
                              <w:rPr>
                                <w:rFonts w:ascii="Georgia" w:eastAsiaTheme="minorHAnsi" w:hAnsi="Georgia"/>
                                <w:color w:val="333333"/>
                                <w:kern w:val="0"/>
                                <w:sz w:val="24"/>
                                <w:szCs w:val="24"/>
                              </w:rPr>
                            </w:pPr>
                            <w:r w:rsidRPr="00D97637">
                              <w:rPr>
                                <w:rFonts w:ascii="Georgia" w:hAnsi="Georgia"/>
                                <w:b/>
                                <w:bCs/>
                                <w:color w:val="333333"/>
                                <w:kern w:val="0"/>
                                <w:sz w:val="24"/>
                                <w:szCs w:val="24"/>
                                <w:shd w:val="clear" w:color="auto" w:fill="FFFFFF"/>
                              </w:rPr>
                              <w:t>(Paragraph 3)</w:t>
                            </w:r>
                            <w:r w:rsidRPr="00D97637">
                              <w:rPr>
                                <w:rFonts w:ascii="Georgia" w:hAnsi="Georgia"/>
                                <w:color w:val="333333"/>
                                <w:kern w:val="0"/>
                                <w:sz w:val="24"/>
                                <w:szCs w:val="24"/>
                                <w:shd w:val="clear" w:color="auto" w:fill="FFFFFF"/>
                              </w:rPr>
                              <w:t> </w:t>
                            </w:r>
                            <w:r w:rsidRPr="00D97637">
                              <w:rPr>
                                <w:rFonts w:ascii="Georgia" w:eastAsiaTheme="minorHAnsi" w:hAnsi="Georgia"/>
                                <w:color w:val="333333"/>
                                <w:kern w:val="0"/>
                                <w:sz w:val="24"/>
                                <w:szCs w:val="24"/>
                              </w:rPr>
                              <w:t xml:space="preserve">Revenues from the theatrical distribution of motion pictures are recognized when motion pictures are exhibited. Revenues from home entertainment and video game sales, net of anticipated returns and customer incentives, are recognized on the date that </w:t>
                            </w:r>
                            <w:proofErr w:type="gramStart"/>
                            <w:r w:rsidRPr="00D97637">
                              <w:rPr>
                                <w:rFonts w:ascii="Georgia" w:eastAsiaTheme="minorHAnsi" w:hAnsi="Georgia"/>
                                <w:color w:val="333333"/>
                                <w:kern w:val="0"/>
                                <w:sz w:val="24"/>
                                <w:szCs w:val="24"/>
                              </w:rPr>
                              <w:t>units are made available for sale by retailers</w:t>
                            </w:r>
                            <w:proofErr w:type="gramEnd"/>
                            <w:r w:rsidRPr="00D97637">
                              <w:rPr>
                                <w:rFonts w:ascii="Georgia" w:eastAsiaTheme="minorHAnsi" w:hAnsi="Georgia"/>
                                <w:color w:val="333333"/>
                                <w:kern w:val="0"/>
                                <w:sz w:val="24"/>
                                <w:szCs w:val="24"/>
                              </w:rPr>
                              <w:t xml:space="preserve">. Revenues from the licensing of feature films and television programming are recorded when the content is available for telecast by the licensee and when certain other conditions are met. Revenues from the sale of electronic formats of feature films and television programming are recognized when the </w:t>
                            </w:r>
                            <w:proofErr w:type="gramStart"/>
                            <w:r w:rsidRPr="00D97637">
                              <w:rPr>
                                <w:rFonts w:ascii="Georgia" w:eastAsiaTheme="minorHAnsi" w:hAnsi="Georgia"/>
                                <w:color w:val="333333"/>
                                <w:kern w:val="0"/>
                                <w:sz w:val="24"/>
                                <w:szCs w:val="24"/>
                              </w:rPr>
                              <w:t>product is received by the consumer</w:t>
                            </w:r>
                            <w:proofErr w:type="gramEnd"/>
                            <w:r w:rsidRPr="00D97637">
                              <w:rPr>
                                <w:rFonts w:ascii="Georgia" w:eastAsiaTheme="minorHAnsi" w:hAnsi="Georgia"/>
                                <w:color w:val="333333"/>
                                <w:kern w:val="0"/>
                                <w:sz w:val="24"/>
                                <w:szCs w:val="24"/>
                              </w:rPr>
                              <w:t>.</w:t>
                            </w:r>
                          </w:p>
                          <w:p w14:paraId="6A5278C9" w14:textId="77777777" w:rsidR="00EF53D6" w:rsidRDefault="00EF53D6" w:rsidP="00EF53D6">
                            <w:pPr>
                              <w:pStyle w:val="NormalWeb"/>
                              <w:spacing w:before="2" w:after="2" w:line="360" w:lineRule="atLeast"/>
                              <w:rPr>
                                <w:rFonts w:ascii="Georgia" w:hAnsi="Georgia"/>
                                <w:color w:val="333333"/>
                                <w:sz w:val="24"/>
                                <w:szCs w:val="24"/>
                              </w:rPr>
                            </w:pPr>
                          </w:p>
                          <w:p w14:paraId="78F0A323" w14:textId="77777777" w:rsidR="00EF53D6" w:rsidRPr="00065CF2" w:rsidRDefault="00EF53D6" w:rsidP="00EF53D6">
                            <w:pPr>
                              <w:pStyle w:val="NormalWeb"/>
                              <w:spacing w:before="2" w:after="2" w:line="360" w:lineRule="atLeast"/>
                              <w:rPr>
                                <w:rFonts w:ascii="Georgia" w:hAnsi="Georgia"/>
                                <w:color w:val="333333"/>
                                <w:sz w:val="24"/>
                                <w:szCs w:val="24"/>
                              </w:rPr>
                            </w:pPr>
                          </w:p>
                          <w:p w14:paraId="42AF7A0A" w14:textId="77777777" w:rsidR="00EF53D6" w:rsidRDefault="00EF53D6" w:rsidP="00EF53D6">
                            <w:pPr>
                              <w:pStyle w:val="NormalWeb"/>
                              <w:spacing w:before="2" w:after="2" w:line="360" w:lineRule="atLeast"/>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35.95pt;margin-top:198pt;width:545.4pt;height:493.8pt;z-index:251683840;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CJWXw0DAAC1BgAADgAAAGRycy9lMm9Eb2MueG1srFXbbtswDH0fsH8Q9O76Et9Rt0icZBjQXYBt&#10;H6DYcizMljxJqdMN+/dRcpq43R6GdXkwJIqiziEPmevbY9+heyoVE7zA/pWHEeWVqBnfF/jL562T&#10;YqQ04TXpBKcFfqAK3968fnU9DjkNRCu6mkoEQbjKx6HArdZD7rqqamlP1JUYKIfDRsieaNjKvVtL&#10;MkL0vnMDz4vdUch6kKKiSoF1PR3iGxu/aWilPzSNohp1BQZs2n6l/e7M1725JvlekqFl1QkG+QcU&#10;PWEcHj2HWhNN0EGy30L1rJJCiUZfVaJ3RdOwiloOwMb3nrH51JKBWi6QHDWc06T+X9jq/f1HiVhd&#10;4AAjTnoo0Wd61Ggljigw2RkHlYPTpwHc9BHMUGXLVA13ovqqEBdlS/ieLqUUY0tJDeh8c9OdXZ3i&#10;KBNkN74TNTxDDlrYQMdG9iZ1kAwE0aFKD+fKGCgVGOMsiKMUjio4i4PED2JbO5fkj9cHqfQbKnpk&#10;FgWWUHobntzfKW3gkPzRxbzGxZZ1nS1/x58YwHGyUKuf6TbJAQosjacBZWv7I/OyTbpJQycM4o0T&#10;enXtLLdl6MRbP4nWi3VZrv2fBoUf5i2ra8rNo48688O/q+NJ8ZNCzkpTomO1CWcgKbnflZ1E9wR0&#10;Hq2y1TqyJYCTi5v7FIZNCXB5RskPQm8VZM42ThMnbMLIyRIvdTw/W2WxF2bhevuU0h3j9OWU0AgS&#10;jELPm8R1QQ0UzDCgZ3r110mA3aEHJU2UT40MJmj3mQlqeb5t+c7SQfKeaRg+HesLnHrmN40DI+IN&#10;r602NGHdtJ5lzzD+c/aW28hLwkXqJEm0cMIF9ZxVui2dZenHcbJZlavNM0FsrMjUyxNoyzhT7Azv&#10;6Y0LZEjLo5xtl5rGnFpUH3fH0zgA/qaDd6J+gLaVApoKGhBmPSxaIb9jNMLcLLD6diCSYtS95dD6&#10;izhKYhi0842cb3bzDeEVhCqwxmhalnoazodBsn0LL0215mIJ46JhtpEvqICR2cBstNxOc9wM3/ne&#10;el3+bW5+AQAA//8DAFBLAwQUAAYACAAAACEAsE+I6OAAAAANAQAADwAAAGRycy9kb3ducmV2Lnht&#10;bEyPQU+EMBCF7yb+h2ZMvJjdgiQsIGWzMTHxsBcR74VWIEunpO0C/ntnT3qbmffy5nvlcTMTW7Tz&#10;o0UB8T4CprGzasReQPP5tsuA+SBRycmiFvCjPRyr+7tSFsqu+KGXOvSMQtAXUsAQwlxw7rtBG+n3&#10;dtZI2rd1RgZaXc+VkyuFm4k/R1HKjRyRPgxy1q+D7i711QiQbqnz83S2DbaHr6dLsybv+UmIx4ft&#10;9AIs6C38meGGT+hQEVNrr6g8mwTsDnFOVgFJnlKpmyOKMzq1NCVZkgKvSv6/RfULAAD//wMAUEsB&#10;Ai0AFAAGAAgAAAAhAOSZw8D7AAAA4QEAABMAAAAAAAAAAAAAAAAAAAAAAFtDb250ZW50X1R5cGVz&#10;XS54bWxQSwECLQAUAAYACAAAACEAI7Jq4dcAAACUAQAACwAAAAAAAAAAAAAAAAAsAQAAX3JlbHMv&#10;LnJlbHNQSwECLQAUAAYACAAAACEAKCJWXw0DAAC1BgAADgAAAAAAAAAAAAAAAAAsAgAAZHJzL2Uy&#10;b0RvYy54bWxQSwECLQAUAAYACAAAACEAsE+I6OAAAAANAQAADwAAAAAAAAAAAAAAAABlBQAAZHJz&#10;L2Rvd25yZXYueG1sUEsFBgAAAAAEAAQA8wAAAHIGAAAAAA==&#10;" filled="f" fillcolor="#5b9bd5" stroked="f" strokecolor="black [0]" strokeweight="2pt">
                <v:textbox inset="2.88pt,2.88pt,2.88pt,2.88pt">
                  <w:txbxContent>
                    <w:p w14:paraId="53B85704" w14:textId="77777777" w:rsidR="00EF53D6" w:rsidRDefault="00EF53D6" w:rsidP="00EF53D6">
                      <w:pPr>
                        <w:pStyle w:val="NormalWeb"/>
                        <w:spacing w:before="2" w:after="2" w:line="360" w:lineRule="atLeast"/>
                        <w:rPr>
                          <w:rStyle w:val="Emphasis"/>
                          <w:rFonts w:ascii="Georgia" w:hAnsi="Georgia"/>
                          <w:color w:val="333333"/>
                          <w:sz w:val="24"/>
                          <w:szCs w:val="24"/>
                        </w:rPr>
                      </w:pPr>
                      <w:r>
                        <w:rPr>
                          <w:rFonts w:ascii="Georgia" w:hAnsi="Georgia"/>
                          <w:color w:val="333333"/>
                          <w:sz w:val="24"/>
                          <w:szCs w:val="24"/>
                        </w:rPr>
                        <w:t>Over the past year, The Walt Disney Company (</w:t>
                      </w:r>
                      <w:hyperlink r:id="rId11" w:history="1">
                        <w:r>
                          <w:rPr>
                            <w:rStyle w:val="Hyperlink"/>
                            <w:rFonts w:ascii="Georgia" w:hAnsi="Georgia"/>
                            <w:sz w:val="24"/>
                            <w:szCs w:val="24"/>
                          </w:rPr>
                          <w:t>DIS</w:t>
                        </w:r>
                      </w:hyperlink>
                      <w:r>
                        <w:rPr>
                          <w:rFonts w:ascii="Georgia" w:hAnsi="Georgia"/>
                          <w:color w:val="333333"/>
                          <w:sz w:val="24"/>
                          <w:szCs w:val="24"/>
                        </w:rPr>
                        <w:t>) has made the news because it increased its ticket prices at Walt Disney World in Florida, Disneyland Park in California, and other parks around the world.  Ticket revenue, however, is not its only source of revenue. The following is an excerpt from the Notes to Consolidated Financial Statements in</w:t>
                      </w:r>
                      <w:r>
                        <w:rPr>
                          <w:rStyle w:val="apple-converted-space"/>
                          <w:rFonts w:ascii="Georgia" w:hAnsi="Georgia"/>
                          <w:color w:val="333333"/>
                          <w:sz w:val="24"/>
                          <w:szCs w:val="24"/>
                        </w:rPr>
                        <w:t> </w:t>
                      </w:r>
                      <w:hyperlink r:id="rId12" w:history="1">
                        <w:r>
                          <w:rPr>
                            <w:rStyle w:val="Hyperlink"/>
                            <w:rFonts w:ascii="Georgia" w:hAnsi="Georgia"/>
                            <w:sz w:val="24"/>
                            <w:szCs w:val="24"/>
                          </w:rPr>
                          <w:t>Walt Disney’s Form 10-K</w:t>
                        </w:r>
                      </w:hyperlink>
                      <w:r>
                        <w:rPr>
                          <w:rStyle w:val="apple-converted-space"/>
                          <w:rFonts w:ascii="Georgia" w:hAnsi="Georgia"/>
                          <w:color w:val="333333"/>
                          <w:sz w:val="24"/>
                          <w:szCs w:val="24"/>
                        </w:rPr>
                        <w:t> </w:t>
                      </w:r>
                      <w:r>
                        <w:rPr>
                          <w:rFonts w:ascii="Georgia" w:hAnsi="Georgia"/>
                          <w:color w:val="333333"/>
                          <w:sz w:val="24"/>
                          <w:szCs w:val="24"/>
                        </w:rPr>
                        <w:t>for the fiscal year ended September 24, 2014, pages 74 – 75. </w:t>
                      </w:r>
                      <w:r>
                        <w:rPr>
                          <w:rStyle w:val="apple-converted-space"/>
                          <w:rFonts w:ascii="Georgia" w:hAnsi="Georgia"/>
                          <w:color w:val="333333"/>
                          <w:sz w:val="24"/>
                          <w:szCs w:val="24"/>
                        </w:rPr>
                        <w:t> </w:t>
                      </w:r>
                      <w:r>
                        <w:rPr>
                          <w:rStyle w:val="Emphasis"/>
                          <w:rFonts w:ascii="Georgia" w:hAnsi="Georgia"/>
                          <w:color w:val="333333"/>
                          <w:sz w:val="24"/>
                          <w:szCs w:val="24"/>
                        </w:rPr>
                        <w:t>(Note: Paragraph numbers added by author.)</w:t>
                      </w:r>
                    </w:p>
                    <w:p w14:paraId="61EF072C" w14:textId="77777777" w:rsidR="00EF53D6" w:rsidRDefault="00EF53D6" w:rsidP="00EF53D6">
                      <w:pPr>
                        <w:pStyle w:val="NormalWeb"/>
                        <w:spacing w:before="2" w:after="2" w:line="360" w:lineRule="atLeast"/>
                        <w:rPr>
                          <w:rFonts w:ascii="Georgia" w:hAnsi="Georgia"/>
                          <w:color w:val="333333"/>
                          <w:sz w:val="24"/>
                          <w:szCs w:val="24"/>
                        </w:rPr>
                      </w:pPr>
                    </w:p>
                    <w:p w14:paraId="29F31135" w14:textId="77777777" w:rsidR="00EF53D6" w:rsidRDefault="00EF53D6" w:rsidP="00EF53D6">
                      <w:pPr>
                        <w:pStyle w:val="NormalWeb"/>
                        <w:spacing w:before="2" w:after="2" w:line="360" w:lineRule="atLeast"/>
                        <w:rPr>
                          <w:rFonts w:ascii="Georgia" w:hAnsi="Georgia"/>
                          <w:color w:val="333333"/>
                          <w:sz w:val="24"/>
                          <w:szCs w:val="24"/>
                        </w:rPr>
                      </w:pPr>
                      <w:r>
                        <w:rPr>
                          <w:rStyle w:val="Strong"/>
                          <w:rFonts w:ascii="Georgia" w:hAnsi="Georgia"/>
                          <w:color w:val="333333"/>
                          <w:sz w:val="24"/>
                          <w:szCs w:val="24"/>
                        </w:rPr>
                        <w:t>(Paragraph 1)</w:t>
                      </w:r>
                      <w:r>
                        <w:rPr>
                          <w:rStyle w:val="apple-converted-space"/>
                          <w:rFonts w:ascii="Georgia" w:hAnsi="Georgia"/>
                          <w:color w:val="333333"/>
                          <w:sz w:val="24"/>
                          <w:szCs w:val="24"/>
                        </w:rPr>
                        <w:t> </w:t>
                      </w:r>
                      <w:r>
                        <w:rPr>
                          <w:rFonts w:ascii="Georgia" w:hAnsi="Georgia"/>
                          <w:color w:val="333333"/>
                          <w:sz w:val="24"/>
                          <w:szCs w:val="24"/>
                        </w:rPr>
                        <w:t>Television advertising revenues are recognized when commercials are aired. Revenues from television subscription services related to the Company’s primary cable programming services are recognized as services are provided. Certain of the Company’s contracts with cable and satellite operators include annual programming commitments. In these cases, recognition of revenues subject to the commitments is deferred until the annual commitments are satisfied, which generally results in higher revenue recognition in the second half of the year.</w:t>
                      </w:r>
                    </w:p>
                    <w:p w14:paraId="6CE7D925" w14:textId="77777777" w:rsidR="00EF53D6" w:rsidRDefault="00EF53D6" w:rsidP="00EF53D6">
                      <w:pPr>
                        <w:pStyle w:val="NormalWeb"/>
                        <w:spacing w:before="2" w:after="2" w:line="360" w:lineRule="atLeast"/>
                        <w:rPr>
                          <w:rFonts w:ascii="Georgia" w:hAnsi="Georgia"/>
                          <w:color w:val="333333"/>
                          <w:sz w:val="24"/>
                          <w:szCs w:val="24"/>
                        </w:rPr>
                      </w:pPr>
                    </w:p>
                    <w:p w14:paraId="158257CE" w14:textId="77777777" w:rsidR="00EF53D6" w:rsidRDefault="00EF53D6" w:rsidP="00EF53D6">
                      <w:pPr>
                        <w:pStyle w:val="NormalWeb"/>
                        <w:spacing w:before="2" w:after="2" w:line="360" w:lineRule="atLeast"/>
                        <w:rPr>
                          <w:rFonts w:ascii="Georgia" w:hAnsi="Georgia"/>
                          <w:color w:val="333333"/>
                          <w:sz w:val="24"/>
                          <w:szCs w:val="24"/>
                        </w:rPr>
                      </w:pPr>
                      <w:r>
                        <w:rPr>
                          <w:rStyle w:val="Strong"/>
                          <w:rFonts w:ascii="Georgia" w:hAnsi="Georgia"/>
                          <w:color w:val="333333"/>
                          <w:sz w:val="24"/>
                          <w:szCs w:val="24"/>
                        </w:rPr>
                        <w:t>(Paragraph 2)</w:t>
                      </w:r>
                      <w:r>
                        <w:rPr>
                          <w:rStyle w:val="apple-converted-space"/>
                          <w:rFonts w:ascii="Georgia" w:hAnsi="Georgia"/>
                          <w:color w:val="333333"/>
                          <w:sz w:val="24"/>
                          <w:szCs w:val="24"/>
                        </w:rPr>
                        <w:t> </w:t>
                      </w:r>
                      <w:r>
                        <w:rPr>
                          <w:rFonts w:ascii="Georgia" w:hAnsi="Georgia"/>
                          <w:color w:val="333333"/>
                          <w:sz w:val="24"/>
                          <w:szCs w:val="24"/>
                        </w:rPr>
                        <w:t>Revenues from advance theme park ticket sales are recognized when the tickets are used. Revenues from expiring multi-use tickets are recognized ratably over the estimated usage period. For non-expiring, multi-day tickets, revenues are recognized over a five-year time period based on estimated usage. The estimated usage periods are derived from historical usage patterns.</w:t>
                      </w:r>
                    </w:p>
                    <w:p w14:paraId="446F3AF3" w14:textId="77777777" w:rsidR="00EF53D6" w:rsidRDefault="00EF53D6" w:rsidP="00EF53D6">
                      <w:pPr>
                        <w:pStyle w:val="NormalWeb"/>
                        <w:spacing w:before="2" w:after="2" w:line="360" w:lineRule="atLeast"/>
                        <w:rPr>
                          <w:rFonts w:ascii="Georgia" w:hAnsi="Georgia"/>
                          <w:color w:val="333333"/>
                          <w:sz w:val="24"/>
                          <w:szCs w:val="24"/>
                        </w:rPr>
                      </w:pPr>
                    </w:p>
                    <w:p w14:paraId="7A355032" w14:textId="77777777" w:rsidR="00EF53D6" w:rsidRPr="00D97637" w:rsidRDefault="00EF53D6" w:rsidP="00EF53D6">
                      <w:pPr>
                        <w:spacing w:after="0" w:line="360" w:lineRule="atLeast"/>
                        <w:rPr>
                          <w:rFonts w:ascii="Georgia" w:eastAsiaTheme="minorHAnsi" w:hAnsi="Georgia"/>
                          <w:color w:val="333333"/>
                          <w:kern w:val="0"/>
                          <w:sz w:val="24"/>
                          <w:szCs w:val="24"/>
                        </w:rPr>
                      </w:pPr>
                      <w:r w:rsidRPr="00D97637">
                        <w:rPr>
                          <w:rFonts w:ascii="Georgia" w:hAnsi="Georgia"/>
                          <w:b/>
                          <w:bCs/>
                          <w:color w:val="333333"/>
                          <w:kern w:val="0"/>
                          <w:sz w:val="24"/>
                          <w:szCs w:val="24"/>
                          <w:shd w:val="clear" w:color="auto" w:fill="FFFFFF"/>
                        </w:rPr>
                        <w:t>(Paragraph 3)</w:t>
                      </w:r>
                      <w:r w:rsidRPr="00D97637">
                        <w:rPr>
                          <w:rFonts w:ascii="Georgia" w:hAnsi="Georgia"/>
                          <w:color w:val="333333"/>
                          <w:kern w:val="0"/>
                          <w:sz w:val="24"/>
                          <w:szCs w:val="24"/>
                          <w:shd w:val="clear" w:color="auto" w:fill="FFFFFF"/>
                        </w:rPr>
                        <w:t> </w:t>
                      </w:r>
                      <w:r w:rsidRPr="00D97637">
                        <w:rPr>
                          <w:rFonts w:ascii="Georgia" w:eastAsiaTheme="minorHAnsi" w:hAnsi="Georgia"/>
                          <w:color w:val="333333"/>
                          <w:kern w:val="0"/>
                          <w:sz w:val="24"/>
                          <w:szCs w:val="24"/>
                        </w:rPr>
                        <w:t xml:space="preserve">Revenues from the theatrical distribution of motion pictures are recognized when motion pictures are exhibited. Revenues from home entertainment and video game sales, net of anticipated returns and customer incentives, are recognized on the date that </w:t>
                      </w:r>
                      <w:proofErr w:type="gramStart"/>
                      <w:r w:rsidRPr="00D97637">
                        <w:rPr>
                          <w:rFonts w:ascii="Georgia" w:eastAsiaTheme="minorHAnsi" w:hAnsi="Georgia"/>
                          <w:color w:val="333333"/>
                          <w:kern w:val="0"/>
                          <w:sz w:val="24"/>
                          <w:szCs w:val="24"/>
                        </w:rPr>
                        <w:t>units are made available for sale by retailers</w:t>
                      </w:r>
                      <w:proofErr w:type="gramEnd"/>
                      <w:r w:rsidRPr="00D97637">
                        <w:rPr>
                          <w:rFonts w:ascii="Georgia" w:eastAsiaTheme="minorHAnsi" w:hAnsi="Georgia"/>
                          <w:color w:val="333333"/>
                          <w:kern w:val="0"/>
                          <w:sz w:val="24"/>
                          <w:szCs w:val="24"/>
                        </w:rPr>
                        <w:t xml:space="preserve">. Revenues from the licensing of feature films and television programming are recorded when the content is available for telecast by the licensee and when certain other conditions are met. Revenues from the sale of electronic formats of feature films and television programming are recognized when the </w:t>
                      </w:r>
                      <w:proofErr w:type="gramStart"/>
                      <w:r w:rsidRPr="00D97637">
                        <w:rPr>
                          <w:rFonts w:ascii="Georgia" w:eastAsiaTheme="minorHAnsi" w:hAnsi="Georgia"/>
                          <w:color w:val="333333"/>
                          <w:kern w:val="0"/>
                          <w:sz w:val="24"/>
                          <w:szCs w:val="24"/>
                        </w:rPr>
                        <w:t>product is received by the consumer</w:t>
                      </w:r>
                      <w:proofErr w:type="gramEnd"/>
                      <w:r w:rsidRPr="00D97637">
                        <w:rPr>
                          <w:rFonts w:ascii="Georgia" w:eastAsiaTheme="minorHAnsi" w:hAnsi="Georgia"/>
                          <w:color w:val="333333"/>
                          <w:kern w:val="0"/>
                          <w:sz w:val="24"/>
                          <w:szCs w:val="24"/>
                        </w:rPr>
                        <w:t>.</w:t>
                      </w:r>
                    </w:p>
                    <w:p w14:paraId="6A5278C9" w14:textId="77777777" w:rsidR="00EF53D6" w:rsidRDefault="00EF53D6" w:rsidP="00EF53D6">
                      <w:pPr>
                        <w:pStyle w:val="NormalWeb"/>
                        <w:spacing w:before="2" w:after="2" w:line="360" w:lineRule="atLeast"/>
                        <w:rPr>
                          <w:rFonts w:ascii="Georgia" w:hAnsi="Georgia"/>
                          <w:color w:val="333333"/>
                          <w:sz w:val="24"/>
                          <w:szCs w:val="24"/>
                        </w:rPr>
                      </w:pPr>
                    </w:p>
                    <w:p w14:paraId="78F0A323" w14:textId="77777777" w:rsidR="00EF53D6" w:rsidRPr="00065CF2" w:rsidRDefault="00EF53D6" w:rsidP="00EF53D6">
                      <w:pPr>
                        <w:pStyle w:val="NormalWeb"/>
                        <w:spacing w:before="2" w:after="2" w:line="360" w:lineRule="atLeast"/>
                        <w:rPr>
                          <w:rFonts w:ascii="Georgia" w:hAnsi="Georgia"/>
                          <w:color w:val="333333"/>
                          <w:sz w:val="24"/>
                          <w:szCs w:val="24"/>
                        </w:rPr>
                      </w:pPr>
                    </w:p>
                    <w:p w14:paraId="42AF7A0A" w14:textId="77777777" w:rsidR="00EF53D6" w:rsidRDefault="00EF53D6" w:rsidP="00EF53D6">
                      <w:pPr>
                        <w:pStyle w:val="NormalWeb"/>
                        <w:spacing w:before="2" w:after="2" w:line="360" w:lineRule="atLeast"/>
                      </w:pPr>
                    </w:p>
                  </w:txbxContent>
                </v:textbox>
                <w10:wrap anchorx="margin" anchory="page"/>
              </v:shape>
            </w:pict>
          </mc:Fallback>
        </mc:AlternateContent>
      </w:r>
      <w:r>
        <w:rPr>
          <w:rFonts w:ascii="Times New Roman" w:hAnsi="Times New Roman"/>
          <w:noProof/>
          <w:sz w:val="24"/>
          <w:szCs w:val="24"/>
        </w:rPr>
        <w:drawing>
          <wp:anchor distT="36576" distB="36576" distL="36576" distR="36576" simplePos="0" relativeHeight="251677696" behindDoc="0" locked="0" layoutInCell="1" allowOverlap="1" wp14:anchorId="39CF4B4B" wp14:editId="010CBD4F">
            <wp:simplePos x="0" y="0"/>
            <wp:positionH relativeFrom="column">
              <wp:posOffset>-480060</wp:posOffset>
            </wp:positionH>
            <wp:positionV relativeFrom="paragraph">
              <wp:posOffset>-571500</wp:posOffset>
            </wp:positionV>
            <wp:extent cx="6995160" cy="1019810"/>
            <wp:effectExtent l="0" t="0" r="0" b="0"/>
            <wp:wrapNone/>
            <wp:docPr id="1" name="Picture 1"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995160" cy="1019810"/>
                    </a:xfrm>
                    <a:prstGeom prst="rect">
                      <a:avLst/>
                    </a:prstGeom>
                    <a:noFill/>
                    <a:ln>
                      <a:noFill/>
                    </a:ln>
                    <a:effectLst/>
                  </pic:spPr>
                </pic:pic>
              </a:graphicData>
            </a:graphic>
          </wp:anchor>
        </w:drawing>
      </w:r>
      <w:r>
        <w:br w:type="page"/>
      </w:r>
      <w:r>
        <w:rPr>
          <w:rFonts w:ascii="Times New Roman" w:hAnsi="Times New Roman"/>
          <w:noProof/>
          <w:color w:val="auto"/>
          <w:kern w:val="0"/>
          <w:sz w:val="24"/>
          <w:szCs w:val="24"/>
        </w:rPr>
        <mc:AlternateContent>
          <mc:Choice Requires="wps">
            <w:drawing>
              <wp:anchor distT="36576" distB="36576" distL="36576" distR="36576" simplePos="0" relativeHeight="251679744" behindDoc="0" locked="0" layoutInCell="1" allowOverlap="1" wp14:anchorId="15BA7219" wp14:editId="2CB7EF97">
                <wp:simplePos x="0" y="0"/>
                <wp:positionH relativeFrom="margin">
                  <wp:posOffset>-457200</wp:posOffset>
                </wp:positionH>
                <wp:positionV relativeFrom="paragraph">
                  <wp:posOffset>577850</wp:posOffset>
                </wp:positionV>
                <wp:extent cx="6972300" cy="1022350"/>
                <wp:effectExtent l="0" t="0" r="1270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2300" cy="102235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294D1373" w14:textId="77777777" w:rsidR="00EF53D6" w:rsidRPr="00065CF2" w:rsidRDefault="00EF53D6" w:rsidP="00EF53D6">
                            <w:pPr>
                              <w:rPr>
                                <w:rFonts w:ascii="Georgia" w:hAnsi="Georgia"/>
                                <w:color w:val="333333"/>
                                <w:sz w:val="24"/>
                                <w:szCs w:val="24"/>
                              </w:rPr>
                            </w:pPr>
                            <w:r w:rsidRPr="00D97637">
                              <w:rPr>
                                <w:rFonts w:ascii="Courier New" w:hAnsi="Courier New" w:cs="Courier New"/>
                                <w:b/>
                                <w:bCs/>
                                <w:sz w:val="40"/>
                                <w:szCs w:val="40"/>
                              </w:rPr>
                              <w:t>What does Walt Disney’s Form 10-K communicate about its unearned revenue and accrued revenue?</w:t>
                            </w:r>
                          </w:p>
                          <w:p w14:paraId="0CEFE1CC" w14:textId="77777777" w:rsidR="00EF53D6" w:rsidRPr="003201E5" w:rsidRDefault="00EF53D6" w:rsidP="00EF53D6">
                            <w:pPr>
                              <w:rPr>
                                <w:rFonts w:ascii="Courier New" w:hAnsi="Courier New" w:cs="Courier New"/>
                                <w:b/>
                                <w:bCs/>
                                <w:sz w:val="40"/>
                                <w:szCs w:val="40"/>
                              </w:rPr>
                            </w:pPr>
                          </w:p>
                          <w:p w14:paraId="69B5F95E" w14:textId="77777777" w:rsidR="00EF53D6" w:rsidRDefault="00EF53D6" w:rsidP="00EF53D6">
                            <w:pPr>
                              <w:pStyle w:val="Heading1"/>
                              <w:shd w:val="clear" w:color="auto" w:fill="FEFEFE"/>
                              <w:spacing w:beforeLines="0" w:afterLines="0"/>
                              <w:textAlignment w:val="baseline"/>
                              <w:rPr>
                                <w:rFonts w:ascii="Courier New" w:hAnsi="Courier New" w:cs="Courier New"/>
                                <w:b w:val="0"/>
                                <w:bCs/>
                                <w:sz w:val="40"/>
                                <w:szCs w:val="4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margin-left:-35.95pt;margin-top:45.5pt;width:549pt;height:80.5pt;z-index:251679744;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FmhNA8DAAC1BgAADgAAAGRycy9lMm9Eb2MueG1srFXJbtswEL0X6D8QvCtarMUSogS2bBcF0gVI&#10;+gG0RFlEJVIl6chp0X/vkPKipD0UTX0QyOFw+N68mfH17aFr0SOVigmeY//Kw4jyUlSM73L85WHj&#10;zDFSmvCKtILTHD9RhW9v3r65HvqMBqIRbUUlgiBcZUOf40brPnNdVTa0I+pK9JTDYS1kRzRs5c6t&#10;JBkgete6gefF7iBk1UtRUqXAuhoP8Y2NX9e01J/qWlGN2hwDNm2/0n635uveXJNsJ0nfsPIIg/wD&#10;io4wDo+eQ62IJmgv2W+hOlZKoUStr0rRuaKuWUktB2Djey/Y3Dekp5YLJEf15zSp/xe2/Pj4WSJW&#10;5XiGEScdSPRADxotxQGFJjtDrzJwuu/BTR/ADCpbpqq/E+VXhbgoGsJ3dCGlGBpKKkDnm5vu5OoY&#10;R5kg2+GDqOAZstfCBjrUsjOpg2QgiA4qPZ2VMVBKMMZpEsw8OCrhzPeCYBZZ7VySna73Uul3VHTI&#10;LHIsQXobnjzeKW3gkOzkYl7jYsPa1srf8mcGcBwt1NbPeJtkAAWWxtOAstr+SL10PV/PQycM4rUT&#10;elXlLDZF6MQbP4lWs1VRrPyfBoUfZg2rKsrNo6c688O/0/FY8WOFnCtNiZZVJpyBpORuW7QSPRKo&#10;82iZLleRlQBOLm7ucxg2JcDlBSU/CL1lkDqbeJ44YR1GTpp4c8fz02Uae2EarjbPKd0xTl9PCQ05&#10;DqIQNLZ8LqiBghkG9Eyv+joWYLvvoJJGysdGBhO0+8QEWp5vW76TdJCsYxqGT8u6HM898xvHgSni&#10;Na9sbWjC2nE9yZ5h/OfsLTaRl4SzuZMk0cwJZ9RzlvNN4SwKP46T9bJYrl8UxNoWmXp9Aq2Mk4qd&#10;4D2+cYEMaTmVs+1S05hji+rD9mDHgW1h08FbUT1B20oBTQUNCLMeFo2Q3zEaYG7mWH3bE0kxat9z&#10;aP1ZHCUxDNrpRk432+mG8BJC5VhjNC4LPQ7nfS/ZroGXRq25WMC4qJlt5AsqYGQ2MBstt+McN8N3&#10;urdel3+bm18AAAD//wMAUEsDBBQABgAIAAAAIQDH52ip3wAAAAsBAAAPAAAAZHJzL2Rvd25yZXYu&#10;eG1sTI9BT4QwEIXvJv6HZky8mN0WjLuClM3GxMTDXkS8D7QCWTolbRfw39s96XEyX977XnFYzchm&#10;7fxgSUKyFcA0tVYN1EmoP982z8B8QFI4WtISfrSHQ3l7U2Cu7EIfeq5Cx2II+Rwl9CFMOee+7bVB&#10;v7WTpvj7ts5giKfruHK4xHAz8lSIHTc4UGzocdKvvW7P1cVIQDdX2Wk82Zqa/dfDuV4e37OjlPd3&#10;6/EFWNBr+IPhqh/VoYxOjb2Q8myUsNknWUQlZEncdAVEukuANRLSp1QALwv+f0P5CwAA//8DAFBL&#10;AQItABQABgAIAAAAIQDkmcPA+wAAAOEBAAATAAAAAAAAAAAAAAAAAAAAAABbQ29udGVudF9UeXBl&#10;c10ueG1sUEsBAi0AFAAGAAgAAAAhACOyauHXAAAAlAEAAAsAAAAAAAAAAAAAAAAALAEAAF9yZWxz&#10;Ly5yZWxzUEsBAi0AFAAGAAgAAAAhAAhZoTQPAwAAtQYAAA4AAAAAAAAAAAAAAAAALAIAAGRycy9l&#10;Mm9Eb2MueG1sUEsBAi0AFAAGAAgAAAAhAMfnaKnfAAAACwEAAA8AAAAAAAAAAAAAAAAAZwUAAGRy&#10;cy9kb3ducmV2LnhtbFBLBQYAAAAABAAEAPMAAABzBgAAAAA=&#10;" filled="f" fillcolor="#5b9bd5" stroked="f" strokecolor="black [0]" strokeweight="2pt">
                <v:textbox inset="2.88pt,2.88pt,2.88pt,2.88pt">
                  <w:txbxContent>
                    <w:p w14:paraId="294D1373" w14:textId="77777777" w:rsidR="00EF53D6" w:rsidRPr="00065CF2" w:rsidRDefault="00EF53D6" w:rsidP="00EF53D6">
                      <w:pPr>
                        <w:rPr>
                          <w:rFonts w:ascii="Georgia" w:hAnsi="Georgia"/>
                          <w:color w:val="333333"/>
                          <w:sz w:val="24"/>
                          <w:szCs w:val="24"/>
                        </w:rPr>
                      </w:pPr>
                      <w:r w:rsidRPr="00D97637">
                        <w:rPr>
                          <w:rFonts w:ascii="Courier New" w:hAnsi="Courier New" w:cs="Courier New"/>
                          <w:b/>
                          <w:bCs/>
                          <w:sz w:val="40"/>
                          <w:szCs w:val="40"/>
                        </w:rPr>
                        <w:t>What does Walt Disney’s Form 10-K communicate about its unearned revenue and accrued revenue?</w:t>
                      </w:r>
                    </w:p>
                    <w:p w14:paraId="0CEFE1CC" w14:textId="77777777" w:rsidR="00EF53D6" w:rsidRPr="003201E5" w:rsidRDefault="00EF53D6" w:rsidP="00EF53D6">
                      <w:pPr>
                        <w:rPr>
                          <w:rFonts w:ascii="Courier New" w:hAnsi="Courier New" w:cs="Courier New"/>
                          <w:b/>
                          <w:bCs/>
                          <w:sz w:val="40"/>
                          <w:szCs w:val="40"/>
                        </w:rPr>
                      </w:pPr>
                    </w:p>
                    <w:p w14:paraId="69B5F95E" w14:textId="77777777" w:rsidR="00EF53D6" w:rsidRDefault="00EF53D6" w:rsidP="00EF53D6">
                      <w:pPr>
                        <w:pStyle w:val="Heading1"/>
                        <w:shd w:val="clear" w:color="auto" w:fill="FEFEFE"/>
                        <w:spacing w:beforeLines="0" w:afterLines="0"/>
                        <w:textAlignment w:val="baseline"/>
                        <w:rPr>
                          <w:rFonts w:ascii="Courier New" w:hAnsi="Courier New" w:cs="Courier New"/>
                          <w:b w:val="0"/>
                          <w:bCs/>
                          <w:sz w:val="40"/>
                          <w:szCs w:val="40"/>
                        </w:rPr>
                      </w:pPr>
                    </w:p>
                  </w:txbxContent>
                </v:textbox>
                <w10:wrap anchorx="margin"/>
              </v:shape>
            </w:pict>
          </mc:Fallback>
        </mc:AlternateContent>
      </w:r>
    </w:p>
    <w:p w14:paraId="48D0D4F2" w14:textId="00077C13" w:rsidR="007B5C98" w:rsidRDefault="00EF53D6" w:rsidP="00A23B05">
      <w:pPr>
        <w:spacing w:after="160" w:line="259" w:lineRule="auto"/>
      </w:pPr>
      <w:r>
        <w:rPr>
          <w:rFonts w:ascii="Times New Roman" w:hAnsi="Times New Roman"/>
          <w:noProof/>
          <w:color w:val="auto"/>
          <w:kern w:val="0"/>
          <w:sz w:val="24"/>
          <w:szCs w:val="24"/>
        </w:rPr>
        <w:lastRenderedPageBreak/>
        <mc:AlternateContent>
          <mc:Choice Requires="wps">
            <w:drawing>
              <wp:anchor distT="36576" distB="36576" distL="36576" distR="36576" simplePos="0" relativeHeight="251681792" behindDoc="0" locked="0" layoutInCell="1" allowOverlap="1" wp14:anchorId="3A2F98D4" wp14:editId="24ABC140">
                <wp:simplePos x="0" y="0"/>
                <wp:positionH relativeFrom="margin">
                  <wp:posOffset>-411480</wp:posOffset>
                </wp:positionH>
                <wp:positionV relativeFrom="page">
                  <wp:posOffset>1485900</wp:posOffset>
                </wp:positionV>
                <wp:extent cx="6926580" cy="7429500"/>
                <wp:effectExtent l="0" t="0" r="7620" b="1270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6580" cy="74295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7696D6C2" w14:textId="77777777" w:rsidR="00E11046" w:rsidRDefault="00E11046" w:rsidP="00E11046">
                            <w:pPr>
                              <w:spacing w:beforeLines="1" w:before="2" w:afterLines="1" w:after="2" w:line="360" w:lineRule="atLeast"/>
                              <w:rPr>
                                <w:rFonts w:ascii="Georgia" w:eastAsiaTheme="minorHAnsi" w:hAnsi="Georgia" w:cstheme="minorBidi"/>
                                <w:color w:val="333333"/>
                                <w:kern w:val="0"/>
                                <w:sz w:val="24"/>
                                <w:szCs w:val="24"/>
                              </w:rPr>
                            </w:pPr>
                            <w:r w:rsidRPr="00E11046">
                              <w:rPr>
                                <w:rFonts w:ascii="Georgia" w:eastAsiaTheme="minorHAnsi" w:hAnsi="Georgia" w:cstheme="minorBidi"/>
                                <w:b/>
                                <w:color w:val="333333"/>
                                <w:kern w:val="0"/>
                                <w:sz w:val="24"/>
                                <w:szCs w:val="24"/>
                              </w:rPr>
                              <w:t>(Paragraph 4)</w:t>
                            </w:r>
                            <w:r w:rsidRPr="00E11046">
                              <w:rPr>
                                <w:rFonts w:ascii="Georgia" w:eastAsiaTheme="minorHAnsi" w:hAnsi="Georgia" w:cstheme="minorBidi"/>
                                <w:color w:val="333333"/>
                                <w:kern w:val="0"/>
                                <w:sz w:val="24"/>
                                <w:szCs w:val="24"/>
                              </w:rPr>
                              <w:t xml:space="preserve"> Merchandise licensing advances and guarantee royalty payments are recognized based on the contractual royalty rate when the </w:t>
                            </w:r>
                            <w:proofErr w:type="gramStart"/>
                            <w:r w:rsidRPr="00E11046">
                              <w:rPr>
                                <w:rFonts w:ascii="Georgia" w:eastAsiaTheme="minorHAnsi" w:hAnsi="Georgia" w:cstheme="minorBidi"/>
                                <w:color w:val="333333"/>
                                <w:kern w:val="0"/>
                                <w:sz w:val="24"/>
                                <w:szCs w:val="24"/>
                              </w:rPr>
                              <w:t>licensed product is sold by the licensee</w:t>
                            </w:r>
                            <w:proofErr w:type="gramEnd"/>
                            <w:r w:rsidRPr="00E11046">
                              <w:rPr>
                                <w:rFonts w:ascii="Georgia" w:eastAsiaTheme="minorHAnsi" w:hAnsi="Georgia" w:cstheme="minorBidi"/>
                                <w:color w:val="333333"/>
                                <w:kern w:val="0"/>
                                <w:sz w:val="24"/>
                                <w:szCs w:val="24"/>
                              </w:rPr>
                              <w:t>. Non-refundable advances and minimum guarantee royalty payments in excess of royalties earned are generally recognized as revenue at the end of the contract period.</w:t>
                            </w:r>
                          </w:p>
                          <w:p w14:paraId="1398E2C1" w14:textId="77777777" w:rsidR="00E11046" w:rsidRPr="00E11046" w:rsidRDefault="00E11046" w:rsidP="00E11046">
                            <w:pPr>
                              <w:spacing w:beforeLines="1" w:before="2" w:afterLines="1" w:after="2" w:line="360" w:lineRule="atLeast"/>
                              <w:rPr>
                                <w:rFonts w:ascii="Georgia" w:eastAsiaTheme="minorHAnsi" w:hAnsi="Georgia" w:cstheme="minorBidi"/>
                                <w:color w:val="333333"/>
                                <w:kern w:val="0"/>
                                <w:sz w:val="24"/>
                                <w:szCs w:val="24"/>
                              </w:rPr>
                            </w:pPr>
                          </w:p>
                          <w:p w14:paraId="13B9BC9A" w14:textId="77777777" w:rsidR="00E11046" w:rsidRDefault="00E11046" w:rsidP="00E11046">
                            <w:pPr>
                              <w:spacing w:beforeLines="1" w:before="2" w:afterLines="1" w:after="2" w:line="360" w:lineRule="atLeast"/>
                              <w:rPr>
                                <w:rFonts w:ascii="Georgia" w:eastAsiaTheme="minorHAnsi" w:hAnsi="Georgia" w:cstheme="minorBidi"/>
                                <w:color w:val="333333"/>
                                <w:kern w:val="0"/>
                                <w:sz w:val="24"/>
                                <w:szCs w:val="24"/>
                              </w:rPr>
                            </w:pPr>
                            <w:r w:rsidRPr="00E11046">
                              <w:rPr>
                                <w:rFonts w:ascii="Georgia" w:eastAsiaTheme="minorHAnsi" w:hAnsi="Georgia" w:cstheme="minorBidi"/>
                                <w:b/>
                                <w:color w:val="333333"/>
                                <w:kern w:val="0"/>
                                <w:sz w:val="24"/>
                                <w:szCs w:val="24"/>
                              </w:rPr>
                              <w:t>(Paragraph 5)</w:t>
                            </w:r>
                            <w:r w:rsidRPr="00E11046">
                              <w:rPr>
                                <w:rFonts w:ascii="Georgia" w:eastAsiaTheme="minorHAnsi" w:hAnsi="Georgia" w:cstheme="minorBidi"/>
                                <w:color w:val="333333"/>
                                <w:kern w:val="0"/>
                                <w:sz w:val="24"/>
                                <w:szCs w:val="24"/>
                              </w:rPr>
                              <w:t xml:space="preserve"> Revenues from our branded online and mobile operations are recognized as services are rendered. Advertising revenues at our </w:t>
                            </w:r>
                            <w:proofErr w:type="gramStart"/>
                            <w:r w:rsidRPr="00E11046">
                              <w:rPr>
                                <w:rFonts w:ascii="Georgia" w:eastAsiaTheme="minorHAnsi" w:hAnsi="Georgia" w:cstheme="minorBidi"/>
                                <w:color w:val="333333"/>
                                <w:kern w:val="0"/>
                                <w:sz w:val="24"/>
                                <w:szCs w:val="24"/>
                              </w:rPr>
                              <w:t>internet</w:t>
                            </w:r>
                            <w:proofErr w:type="gramEnd"/>
                            <w:r w:rsidRPr="00E11046">
                              <w:rPr>
                                <w:rFonts w:ascii="Georgia" w:eastAsiaTheme="minorHAnsi" w:hAnsi="Georgia" w:cstheme="minorBidi"/>
                                <w:color w:val="333333"/>
                                <w:kern w:val="0"/>
                                <w:sz w:val="24"/>
                                <w:szCs w:val="24"/>
                              </w:rPr>
                              <w:t xml:space="preserve"> operations are recognized when advertisements are viewed online.</w:t>
                            </w:r>
                          </w:p>
                          <w:p w14:paraId="6B3FB671" w14:textId="77777777" w:rsidR="00E11046" w:rsidRPr="00E11046" w:rsidRDefault="00E11046" w:rsidP="00E11046">
                            <w:pPr>
                              <w:spacing w:beforeLines="1" w:before="2" w:afterLines="1" w:after="2" w:line="360" w:lineRule="atLeast"/>
                              <w:rPr>
                                <w:rFonts w:ascii="Georgia" w:eastAsiaTheme="minorHAnsi" w:hAnsi="Georgia" w:cstheme="minorBidi"/>
                                <w:color w:val="333333"/>
                                <w:kern w:val="0"/>
                                <w:sz w:val="24"/>
                                <w:szCs w:val="24"/>
                              </w:rPr>
                            </w:pPr>
                            <w:bookmarkStart w:id="0" w:name="_GoBack"/>
                            <w:bookmarkEnd w:id="0"/>
                          </w:p>
                          <w:p w14:paraId="5785179E" w14:textId="77777777" w:rsidR="00E11046" w:rsidRPr="00E11046" w:rsidRDefault="00E11046" w:rsidP="00E11046">
                            <w:pPr>
                              <w:spacing w:beforeLines="1" w:before="2" w:afterLines="1" w:after="2" w:line="360" w:lineRule="atLeast"/>
                              <w:rPr>
                                <w:rFonts w:ascii="Georgia" w:eastAsiaTheme="minorHAnsi" w:hAnsi="Georgia" w:cstheme="minorBidi"/>
                                <w:color w:val="333333"/>
                                <w:kern w:val="0"/>
                                <w:sz w:val="24"/>
                                <w:szCs w:val="24"/>
                              </w:rPr>
                            </w:pPr>
                            <w:r w:rsidRPr="00E11046">
                              <w:rPr>
                                <w:rFonts w:ascii="Georgia" w:eastAsiaTheme="minorHAnsi" w:hAnsi="Georgia" w:cstheme="minorBidi"/>
                                <w:b/>
                                <w:color w:val="333333"/>
                                <w:kern w:val="0"/>
                                <w:sz w:val="24"/>
                                <w:szCs w:val="24"/>
                              </w:rPr>
                              <w:t>Questions</w:t>
                            </w:r>
                          </w:p>
                          <w:p w14:paraId="27E7E0AA" w14:textId="77777777" w:rsidR="00E11046" w:rsidRPr="00E11046" w:rsidRDefault="00E11046" w:rsidP="00E11046">
                            <w:pPr>
                              <w:numPr>
                                <w:ilvl w:val="0"/>
                                <w:numId w:val="26"/>
                              </w:numPr>
                              <w:spacing w:before="100" w:beforeAutospacing="1" w:after="100" w:afterAutospacing="1" w:line="360" w:lineRule="atLeast"/>
                              <w:rPr>
                                <w:rFonts w:ascii="Georgia" w:hAnsi="Georgia"/>
                                <w:color w:val="333333"/>
                                <w:kern w:val="0"/>
                                <w:sz w:val="24"/>
                                <w:szCs w:val="24"/>
                              </w:rPr>
                            </w:pPr>
                            <w:r w:rsidRPr="00E11046">
                              <w:rPr>
                                <w:rFonts w:ascii="Georgia" w:hAnsi="Georgia"/>
                                <w:color w:val="333333"/>
                                <w:kern w:val="0"/>
                                <w:sz w:val="24"/>
                                <w:szCs w:val="24"/>
                              </w:rPr>
                              <w:t>Make a list of the sources of revenue that Walt Disney discloses in its 10k, based on the excerpt from its 2014 10k.</w:t>
                            </w:r>
                          </w:p>
                          <w:p w14:paraId="05A2B28D" w14:textId="77777777" w:rsidR="00E11046" w:rsidRPr="00E11046" w:rsidRDefault="00E11046" w:rsidP="00E11046">
                            <w:pPr>
                              <w:numPr>
                                <w:ilvl w:val="0"/>
                                <w:numId w:val="26"/>
                              </w:numPr>
                              <w:spacing w:before="100" w:beforeAutospacing="1" w:after="100" w:afterAutospacing="1" w:line="360" w:lineRule="atLeast"/>
                              <w:rPr>
                                <w:rFonts w:ascii="Georgia" w:hAnsi="Georgia"/>
                                <w:color w:val="333333"/>
                                <w:kern w:val="0"/>
                                <w:sz w:val="24"/>
                                <w:szCs w:val="24"/>
                              </w:rPr>
                            </w:pPr>
                            <w:r w:rsidRPr="00E11046">
                              <w:rPr>
                                <w:rFonts w:ascii="Georgia" w:hAnsi="Georgia"/>
                                <w:color w:val="333333"/>
                                <w:kern w:val="0"/>
                                <w:sz w:val="24"/>
                                <w:szCs w:val="24"/>
                              </w:rPr>
                              <w:t>Which of the listed revenue sources would you expect that Walt Disney could recognize immediately upon sale of product or service?</w:t>
                            </w:r>
                          </w:p>
                          <w:p w14:paraId="4DA88810" w14:textId="77777777" w:rsidR="00E11046" w:rsidRPr="00E11046" w:rsidRDefault="00E11046" w:rsidP="00E11046">
                            <w:pPr>
                              <w:numPr>
                                <w:ilvl w:val="0"/>
                                <w:numId w:val="26"/>
                              </w:numPr>
                              <w:spacing w:before="100" w:beforeAutospacing="1" w:after="100" w:afterAutospacing="1" w:line="360" w:lineRule="atLeast"/>
                              <w:rPr>
                                <w:rFonts w:ascii="Georgia" w:hAnsi="Georgia"/>
                                <w:color w:val="333333"/>
                                <w:kern w:val="0"/>
                                <w:sz w:val="24"/>
                                <w:szCs w:val="24"/>
                              </w:rPr>
                            </w:pPr>
                            <w:r w:rsidRPr="00E11046">
                              <w:rPr>
                                <w:rFonts w:ascii="Georgia" w:hAnsi="Georgia"/>
                                <w:color w:val="333333"/>
                                <w:kern w:val="0"/>
                                <w:sz w:val="24"/>
                                <w:szCs w:val="24"/>
                              </w:rPr>
                              <w:t>When does cash change hands with accrued revenue? Which of the listed revenue sources would you expect that Walt Disney would need to accrue for?</w:t>
                            </w:r>
                          </w:p>
                          <w:p w14:paraId="5578BA88" w14:textId="77777777" w:rsidR="00E11046" w:rsidRPr="00E11046" w:rsidRDefault="00E11046" w:rsidP="00E11046">
                            <w:pPr>
                              <w:numPr>
                                <w:ilvl w:val="0"/>
                                <w:numId w:val="26"/>
                              </w:numPr>
                              <w:spacing w:before="100" w:beforeAutospacing="1" w:after="100" w:afterAutospacing="1" w:line="360" w:lineRule="atLeast"/>
                              <w:rPr>
                                <w:rFonts w:ascii="Georgia" w:hAnsi="Georgia"/>
                                <w:color w:val="333333"/>
                                <w:kern w:val="0"/>
                                <w:sz w:val="24"/>
                                <w:szCs w:val="24"/>
                              </w:rPr>
                            </w:pPr>
                            <w:r w:rsidRPr="00E11046">
                              <w:rPr>
                                <w:rFonts w:ascii="Georgia" w:hAnsi="Georgia"/>
                                <w:color w:val="333333"/>
                                <w:kern w:val="0"/>
                                <w:sz w:val="24"/>
                                <w:szCs w:val="24"/>
                              </w:rPr>
                              <w:t>When does cash change hands with unearned revenue? Which of the listed revenues sources would you expect that Walt Disney would initially account for as “unearned revenue”?</w:t>
                            </w:r>
                          </w:p>
                          <w:p w14:paraId="5DA47AF8" w14:textId="6C724390" w:rsidR="00EF53D6" w:rsidRPr="00D97637" w:rsidRDefault="00EF53D6" w:rsidP="00EF53D6">
                            <w:pPr>
                              <w:spacing w:after="0" w:line="360" w:lineRule="atLeast"/>
                              <w:rPr>
                                <w:rFonts w:ascii="Georgia" w:eastAsiaTheme="minorHAnsi" w:hAnsi="Georgia"/>
                                <w:color w:val="333333"/>
                                <w:kern w:val="0"/>
                                <w:sz w:val="24"/>
                                <w:szCs w:val="24"/>
                              </w:rPr>
                            </w:pPr>
                          </w:p>
                          <w:p w14:paraId="0A0E6BAA" w14:textId="77777777" w:rsidR="00EF53D6" w:rsidRDefault="00EF53D6" w:rsidP="00EF53D6">
                            <w:pPr>
                              <w:pStyle w:val="NormalWeb"/>
                              <w:spacing w:before="2" w:after="2" w:line="360" w:lineRule="atLeast"/>
                              <w:rPr>
                                <w:rFonts w:ascii="Georgia" w:hAnsi="Georgia"/>
                                <w:color w:val="333333"/>
                                <w:sz w:val="24"/>
                                <w:szCs w:val="24"/>
                              </w:rPr>
                            </w:pPr>
                          </w:p>
                          <w:p w14:paraId="66451DFD" w14:textId="77777777" w:rsidR="00EF53D6" w:rsidRPr="00065CF2" w:rsidRDefault="00EF53D6" w:rsidP="00EF53D6">
                            <w:pPr>
                              <w:pStyle w:val="NormalWeb"/>
                              <w:spacing w:before="2" w:after="2" w:line="360" w:lineRule="atLeast"/>
                              <w:rPr>
                                <w:rFonts w:ascii="Georgia" w:hAnsi="Georgia"/>
                                <w:color w:val="333333"/>
                                <w:sz w:val="24"/>
                                <w:szCs w:val="24"/>
                              </w:rPr>
                            </w:pPr>
                          </w:p>
                          <w:p w14:paraId="049C6CD3" w14:textId="77777777" w:rsidR="00EF53D6" w:rsidRDefault="00EF53D6" w:rsidP="00EF53D6">
                            <w:pPr>
                              <w:pStyle w:val="NormalWeb"/>
                              <w:spacing w:before="2" w:after="2" w:line="360" w:lineRule="atLeast"/>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8" type="#_x0000_t202" style="position:absolute;margin-left:-32.35pt;margin-top:117pt;width:545.4pt;height:585pt;z-index:251681792;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bgwngkDAACuBgAADgAAAGRycy9lMm9Eb2MueG1srFXJbtswEL0X6D8QvCuSbO2IEtiyXRRIFyDp&#10;B9ASZRGVSJWkI6dF/71DyouS9lA09UHgOnxv3pvx9e2ha9EjlYoJnmP/ysOI8lJUjO9y/OVh4yQY&#10;KU14RVrBaY6fqMK3N2/fXA99RmeiEW1FJYIgXGVDn+NG6z5zXVU2tCPqSvSUw2YtZEc0TOXOrSQZ&#10;IHrXujPPi9xByKqXoqRKwepq3MQ3Nn5d01J/qmtFNWpzDNi0/Ur73Zqve3NNsp0kfcPKIwzyDyg6&#10;wjg8eg61IpqgvWS/hepYKYUStb4qReeKumYltRyAje+9YHPfkJ5aLpAc1Z/TpP5f2PLj42eJWJVj&#10;EIqTDiR6oAeNluKAEpOdoVcZHLrv4Zg+wDKobJmq/k6UXxXiomgI39GFlGJoKKkAnW9uupOrYxxl&#10;gmyHD6KCZ8heCxvoUMvOpA6SgSA6qPR0VsZAKWExSmdRmMBWCXtxMEtDz2rnkux0vZdKv6OiQ2aQ&#10;YwnS2/Dk8U5pA4dkpyPmNS42rG2t/C1/tgAHxxVq/TPeJhlAgaE5aUBZbX+kXrpO1kngBLNo7QRe&#10;VTmLTRE40caPw9V8VRQr/6dB4QdZw6qKcvPoyWd+8Hc6Hh0/OuTsNCVaVplwBpKSu23RSvRIwOfh&#10;Ml2uQisB7FyOuc9h2JQAlxeU/FngLWeps4mS2AnqIHTS2Escz0+XaeQFabDaPKd0xzh9PSU05HgW&#10;BiCr5XNBDRRMM6BnetXX0YDtvgMnjZSPhQxLUO6TJdDyfNvynaSDZB3T0Hxa1oH7PfMb24Ex8ZpX&#10;1huasHYcT7JnGP85e4tN6MXBPHHiOJw7wZx6zjLZFM6i8KMoXi+L5fqFIdbWZOr1CbQyThw7wXt8&#10;4wIZ0nKys61SU5hjierD9gDETeluRfUE9SoFVBNUHjR5GDRCfsdogIaZY/VtTyTFqH3PoebnURhH&#10;0GGnEzmdbKcTwksIlWON0Tgs9NiV971kuwZeGkXmYgF9oma2gi+ogIqZQFO0pI4N3HTd6dyeuvzN&#10;3PwCAAD//wMAUEsDBBQABgAIAAAAIQDM6tw64QAAAA0BAAAPAAAAZHJzL2Rvd25yZXYueG1sTI/B&#10;boMwEETvlfoP1kbqpUpMCCINwURRpUo95FJK7wa7gGKvEXaA/n03p/a2uzOafZOfFmvYpEffOxSw&#10;3UTANDZO9dgKqD7f1i/AfJCopHGoBfxoD6fi8SGXmXIzfuipDC2jEPSZFNCFMGSc+6bTVvqNGzSS&#10;9u1GKwOtY8vVKGcKt4bHUZRyK3ukD50c9Gunm2t5swLkOJWHi7m4Cuv91/O1mnfvh7MQT6vlfAQW&#10;9BL+zHDHJ3QoiKl2N1SeGQHrNNmTVUC8S6jU3RHF6RZYTVMS0Y0XOf/fovgFAAD//wMAUEsBAi0A&#10;FAAGAAgAAAAhAOSZw8D7AAAA4QEAABMAAAAAAAAAAAAAAAAAAAAAAFtDb250ZW50X1R5cGVzXS54&#10;bWxQSwECLQAUAAYACAAAACEAI7Jq4dcAAACUAQAACwAAAAAAAAAAAAAAAAAsAQAAX3JlbHMvLnJl&#10;bHNQSwECLQAUAAYACAAAACEAtbgwngkDAACuBgAADgAAAAAAAAAAAAAAAAAsAgAAZHJzL2Uyb0Rv&#10;Yy54bWxQSwECLQAUAAYACAAAACEAzOrcOuEAAAANAQAADwAAAAAAAAAAAAAAAABhBQAAZHJzL2Rv&#10;d25yZXYueG1sUEsFBgAAAAAEAAQA8wAAAG8GAAAAAA==&#10;" filled="f" fillcolor="#5b9bd5" stroked="f" strokecolor="black [0]" strokeweight="2pt">
                <v:textbox inset="2.88pt,2.88pt,2.88pt,2.88pt">
                  <w:txbxContent>
                    <w:p w14:paraId="7696D6C2" w14:textId="77777777" w:rsidR="00E11046" w:rsidRDefault="00E11046" w:rsidP="00E11046">
                      <w:pPr>
                        <w:spacing w:beforeLines="1" w:before="2" w:afterLines="1" w:after="2" w:line="360" w:lineRule="atLeast"/>
                        <w:rPr>
                          <w:rFonts w:ascii="Georgia" w:eastAsiaTheme="minorHAnsi" w:hAnsi="Georgia" w:cstheme="minorBidi"/>
                          <w:color w:val="333333"/>
                          <w:kern w:val="0"/>
                          <w:sz w:val="24"/>
                          <w:szCs w:val="24"/>
                        </w:rPr>
                      </w:pPr>
                      <w:r w:rsidRPr="00E11046">
                        <w:rPr>
                          <w:rFonts w:ascii="Georgia" w:eastAsiaTheme="minorHAnsi" w:hAnsi="Georgia" w:cstheme="minorBidi"/>
                          <w:b/>
                          <w:color w:val="333333"/>
                          <w:kern w:val="0"/>
                          <w:sz w:val="24"/>
                          <w:szCs w:val="24"/>
                        </w:rPr>
                        <w:t>(Paragraph 4)</w:t>
                      </w:r>
                      <w:r w:rsidRPr="00E11046">
                        <w:rPr>
                          <w:rFonts w:ascii="Georgia" w:eastAsiaTheme="minorHAnsi" w:hAnsi="Georgia" w:cstheme="minorBidi"/>
                          <w:color w:val="333333"/>
                          <w:kern w:val="0"/>
                          <w:sz w:val="24"/>
                          <w:szCs w:val="24"/>
                        </w:rPr>
                        <w:t xml:space="preserve"> Merchandise licensing advances and guarantee royalty payments are recognized based on the contractual royalty rate when the </w:t>
                      </w:r>
                      <w:proofErr w:type="gramStart"/>
                      <w:r w:rsidRPr="00E11046">
                        <w:rPr>
                          <w:rFonts w:ascii="Georgia" w:eastAsiaTheme="minorHAnsi" w:hAnsi="Georgia" w:cstheme="minorBidi"/>
                          <w:color w:val="333333"/>
                          <w:kern w:val="0"/>
                          <w:sz w:val="24"/>
                          <w:szCs w:val="24"/>
                        </w:rPr>
                        <w:t>licensed product is sold by the licensee</w:t>
                      </w:r>
                      <w:proofErr w:type="gramEnd"/>
                      <w:r w:rsidRPr="00E11046">
                        <w:rPr>
                          <w:rFonts w:ascii="Georgia" w:eastAsiaTheme="minorHAnsi" w:hAnsi="Georgia" w:cstheme="minorBidi"/>
                          <w:color w:val="333333"/>
                          <w:kern w:val="0"/>
                          <w:sz w:val="24"/>
                          <w:szCs w:val="24"/>
                        </w:rPr>
                        <w:t>. Non-refundable advances and minimum guarantee royalty payments in excess of royalties earned are generally recognized as revenue at the end of the contract period.</w:t>
                      </w:r>
                    </w:p>
                    <w:p w14:paraId="1398E2C1" w14:textId="77777777" w:rsidR="00E11046" w:rsidRPr="00E11046" w:rsidRDefault="00E11046" w:rsidP="00E11046">
                      <w:pPr>
                        <w:spacing w:beforeLines="1" w:before="2" w:afterLines="1" w:after="2" w:line="360" w:lineRule="atLeast"/>
                        <w:rPr>
                          <w:rFonts w:ascii="Georgia" w:eastAsiaTheme="minorHAnsi" w:hAnsi="Georgia" w:cstheme="minorBidi"/>
                          <w:color w:val="333333"/>
                          <w:kern w:val="0"/>
                          <w:sz w:val="24"/>
                          <w:szCs w:val="24"/>
                        </w:rPr>
                      </w:pPr>
                    </w:p>
                    <w:p w14:paraId="13B9BC9A" w14:textId="77777777" w:rsidR="00E11046" w:rsidRDefault="00E11046" w:rsidP="00E11046">
                      <w:pPr>
                        <w:spacing w:beforeLines="1" w:before="2" w:afterLines="1" w:after="2" w:line="360" w:lineRule="atLeast"/>
                        <w:rPr>
                          <w:rFonts w:ascii="Georgia" w:eastAsiaTheme="minorHAnsi" w:hAnsi="Georgia" w:cstheme="minorBidi"/>
                          <w:color w:val="333333"/>
                          <w:kern w:val="0"/>
                          <w:sz w:val="24"/>
                          <w:szCs w:val="24"/>
                        </w:rPr>
                      </w:pPr>
                      <w:r w:rsidRPr="00E11046">
                        <w:rPr>
                          <w:rFonts w:ascii="Georgia" w:eastAsiaTheme="minorHAnsi" w:hAnsi="Georgia" w:cstheme="minorBidi"/>
                          <w:b/>
                          <w:color w:val="333333"/>
                          <w:kern w:val="0"/>
                          <w:sz w:val="24"/>
                          <w:szCs w:val="24"/>
                        </w:rPr>
                        <w:t>(Paragraph 5)</w:t>
                      </w:r>
                      <w:r w:rsidRPr="00E11046">
                        <w:rPr>
                          <w:rFonts w:ascii="Georgia" w:eastAsiaTheme="minorHAnsi" w:hAnsi="Georgia" w:cstheme="minorBidi"/>
                          <w:color w:val="333333"/>
                          <w:kern w:val="0"/>
                          <w:sz w:val="24"/>
                          <w:szCs w:val="24"/>
                        </w:rPr>
                        <w:t xml:space="preserve"> Revenues from our branded online and mobile operations are recognized as services are rendered. Advertising revenues at our </w:t>
                      </w:r>
                      <w:proofErr w:type="gramStart"/>
                      <w:r w:rsidRPr="00E11046">
                        <w:rPr>
                          <w:rFonts w:ascii="Georgia" w:eastAsiaTheme="minorHAnsi" w:hAnsi="Georgia" w:cstheme="minorBidi"/>
                          <w:color w:val="333333"/>
                          <w:kern w:val="0"/>
                          <w:sz w:val="24"/>
                          <w:szCs w:val="24"/>
                        </w:rPr>
                        <w:t>internet</w:t>
                      </w:r>
                      <w:proofErr w:type="gramEnd"/>
                      <w:r w:rsidRPr="00E11046">
                        <w:rPr>
                          <w:rFonts w:ascii="Georgia" w:eastAsiaTheme="minorHAnsi" w:hAnsi="Georgia" w:cstheme="minorBidi"/>
                          <w:color w:val="333333"/>
                          <w:kern w:val="0"/>
                          <w:sz w:val="24"/>
                          <w:szCs w:val="24"/>
                        </w:rPr>
                        <w:t xml:space="preserve"> operations are recognized when advertisements are viewed online.</w:t>
                      </w:r>
                    </w:p>
                    <w:p w14:paraId="6B3FB671" w14:textId="77777777" w:rsidR="00E11046" w:rsidRPr="00E11046" w:rsidRDefault="00E11046" w:rsidP="00E11046">
                      <w:pPr>
                        <w:spacing w:beforeLines="1" w:before="2" w:afterLines="1" w:after="2" w:line="360" w:lineRule="atLeast"/>
                        <w:rPr>
                          <w:rFonts w:ascii="Georgia" w:eastAsiaTheme="minorHAnsi" w:hAnsi="Georgia" w:cstheme="minorBidi"/>
                          <w:color w:val="333333"/>
                          <w:kern w:val="0"/>
                          <w:sz w:val="24"/>
                          <w:szCs w:val="24"/>
                        </w:rPr>
                      </w:pPr>
                      <w:bookmarkStart w:id="1" w:name="_GoBack"/>
                      <w:bookmarkEnd w:id="1"/>
                    </w:p>
                    <w:p w14:paraId="5785179E" w14:textId="77777777" w:rsidR="00E11046" w:rsidRPr="00E11046" w:rsidRDefault="00E11046" w:rsidP="00E11046">
                      <w:pPr>
                        <w:spacing w:beforeLines="1" w:before="2" w:afterLines="1" w:after="2" w:line="360" w:lineRule="atLeast"/>
                        <w:rPr>
                          <w:rFonts w:ascii="Georgia" w:eastAsiaTheme="minorHAnsi" w:hAnsi="Georgia" w:cstheme="minorBidi"/>
                          <w:color w:val="333333"/>
                          <w:kern w:val="0"/>
                          <w:sz w:val="24"/>
                          <w:szCs w:val="24"/>
                        </w:rPr>
                      </w:pPr>
                      <w:r w:rsidRPr="00E11046">
                        <w:rPr>
                          <w:rFonts w:ascii="Georgia" w:eastAsiaTheme="minorHAnsi" w:hAnsi="Georgia" w:cstheme="minorBidi"/>
                          <w:b/>
                          <w:color w:val="333333"/>
                          <w:kern w:val="0"/>
                          <w:sz w:val="24"/>
                          <w:szCs w:val="24"/>
                        </w:rPr>
                        <w:t>Questions</w:t>
                      </w:r>
                    </w:p>
                    <w:p w14:paraId="27E7E0AA" w14:textId="77777777" w:rsidR="00E11046" w:rsidRPr="00E11046" w:rsidRDefault="00E11046" w:rsidP="00E11046">
                      <w:pPr>
                        <w:numPr>
                          <w:ilvl w:val="0"/>
                          <w:numId w:val="26"/>
                        </w:numPr>
                        <w:spacing w:before="100" w:beforeAutospacing="1" w:after="100" w:afterAutospacing="1" w:line="360" w:lineRule="atLeast"/>
                        <w:rPr>
                          <w:rFonts w:ascii="Georgia" w:hAnsi="Georgia"/>
                          <w:color w:val="333333"/>
                          <w:kern w:val="0"/>
                          <w:sz w:val="24"/>
                          <w:szCs w:val="24"/>
                        </w:rPr>
                      </w:pPr>
                      <w:r w:rsidRPr="00E11046">
                        <w:rPr>
                          <w:rFonts w:ascii="Georgia" w:hAnsi="Georgia"/>
                          <w:color w:val="333333"/>
                          <w:kern w:val="0"/>
                          <w:sz w:val="24"/>
                          <w:szCs w:val="24"/>
                        </w:rPr>
                        <w:t>Make a list of the sources of revenue that Walt Disney discloses in its 10k, based on the excerpt from its 2014 10k.</w:t>
                      </w:r>
                    </w:p>
                    <w:p w14:paraId="05A2B28D" w14:textId="77777777" w:rsidR="00E11046" w:rsidRPr="00E11046" w:rsidRDefault="00E11046" w:rsidP="00E11046">
                      <w:pPr>
                        <w:numPr>
                          <w:ilvl w:val="0"/>
                          <w:numId w:val="26"/>
                        </w:numPr>
                        <w:spacing w:before="100" w:beforeAutospacing="1" w:after="100" w:afterAutospacing="1" w:line="360" w:lineRule="atLeast"/>
                        <w:rPr>
                          <w:rFonts w:ascii="Georgia" w:hAnsi="Georgia"/>
                          <w:color w:val="333333"/>
                          <w:kern w:val="0"/>
                          <w:sz w:val="24"/>
                          <w:szCs w:val="24"/>
                        </w:rPr>
                      </w:pPr>
                      <w:r w:rsidRPr="00E11046">
                        <w:rPr>
                          <w:rFonts w:ascii="Georgia" w:hAnsi="Georgia"/>
                          <w:color w:val="333333"/>
                          <w:kern w:val="0"/>
                          <w:sz w:val="24"/>
                          <w:szCs w:val="24"/>
                        </w:rPr>
                        <w:t>Which of the listed revenue sources would you expect that Walt Disney could recognize immediately upon sale of product or service?</w:t>
                      </w:r>
                    </w:p>
                    <w:p w14:paraId="4DA88810" w14:textId="77777777" w:rsidR="00E11046" w:rsidRPr="00E11046" w:rsidRDefault="00E11046" w:rsidP="00E11046">
                      <w:pPr>
                        <w:numPr>
                          <w:ilvl w:val="0"/>
                          <w:numId w:val="26"/>
                        </w:numPr>
                        <w:spacing w:before="100" w:beforeAutospacing="1" w:after="100" w:afterAutospacing="1" w:line="360" w:lineRule="atLeast"/>
                        <w:rPr>
                          <w:rFonts w:ascii="Georgia" w:hAnsi="Georgia"/>
                          <w:color w:val="333333"/>
                          <w:kern w:val="0"/>
                          <w:sz w:val="24"/>
                          <w:szCs w:val="24"/>
                        </w:rPr>
                      </w:pPr>
                      <w:r w:rsidRPr="00E11046">
                        <w:rPr>
                          <w:rFonts w:ascii="Georgia" w:hAnsi="Georgia"/>
                          <w:color w:val="333333"/>
                          <w:kern w:val="0"/>
                          <w:sz w:val="24"/>
                          <w:szCs w:val="24"/>
                        </w:rPr>
                        <w:t>When does cash change hands with accrued revenue? Which of the listed revenue sources would you expect that Walt Disney would need to accrue for?</w:t>
                      </w:r>
                    </w:p>
                    <w:p w14:paraId="5578BA88" w14:textId="77777777" w:rsidR="00E11046" w:rsidRPr="00E11046" w:rsidRDefault="00E11046" w:rsidP="00E11046">
                      <w:pPr>
                        <w:numPr>
                          <w:ilvl w:val="0"/>
                          <w:numId w:val="26"/>
                        </w:numPr>
                        <w:spacing w:before="100" w:beforeAutospacing="1" w:after="100" w:afterAutospacing="1" w:line="360" w:lineRule="atLeast"/>
                        <w:rPr>
                          <w:rFonts w:ascii="Georgia" w:hAnsi="Georgia"/>
                          <w:color w:val="333333"/>
                          <w:kern w:val="0"/>
                          <w:sz w:val="24"/>
                          <w:szCs w:val="24"/>
                        </w:rPr>
                      </w:pPr>
                      <w:r w:rsidRPr="00E11046">
                        <w:rPr>
                          <w:rFonts w:ascii="Georgia" w:hAnsi="Georgia"/>
                          <w:color w:val="333333"/>
                          <w:kern w:val="0"/>
                          <w:sz w:val="24"/>
                          <w:szCs w:val="24"/>
                        </w:rPr>
                        <w:t>When does cash change hands with unearned revenue? Which of the listed revenues sources would you expect that Walt Disney would initially account for as “unearned revenue”?</w:t>
                      </w:r>
                    </w:p>
                    <w:p w14:paraId="5DA47AF8" w14:textId="6C724390" w:rsidR="00EF53D6" w:rsidRPr="00D97637" w:rsidRDefault="00EF53D6" w:rsidP="00EF53D6">
                      <w:pPr>
                        <w:spacing w:after="0" w:line="360" w:lineRule="atLeast"/>
                        <w:rPr>
                          <w:rFonts w:ascii="Georgia" w:eastAsiaTheme="minorHAnsi" w:hAnsi="Georgia"/>
                          <w:color w:val="333333"/>
                          <w:kern w:val="0"/>
                          <w:sz w:val="24"/>
                          <w:szCs w:val="24"/>
                        </w:rPr>
                      </w:pPr>
                    </w:p>
                    <w:p w14:paraId="0A0E6BAA" w14:textId="77777777" w:rsidR="00EF53D6" w:rsidRDefault="00EF53D6" w:rsidP="00EF53D6">
                      <w:pPr>
                        <w:pStyle w:val="NormalWeb"/>
                        <w:spacing w:before="2" w:after="2" w:line="360" w:lineRule="atLeast"/>
                        <w:rPr>
                          <w:rFonts w:ascii="Georgia" w:hAnsi="Georgia"/>
                          <w:color w:val="333333"/>
                          <w:sz w:val="24"/>
                          <w:szCs w:val="24"/>
                        </w:rPr>
                      </w:pPr>
                    </w:p>
                    <w:p w14:paraId="66451DFD" w14:textId="77777777" w:rsidR="00EF53D6" w:rsidRPr="00065CF2" w:rsidRDefault="00EF53D6" w:rsidP="00EF53D6">
                      <w:pPr>
                        <w:pStyle w:val="NormalWeb"/>
                        <w:spacing w:before="2" w:after="2" w:line="360" w:lineRule="atLeast"/>
                        <w:rPr>
                          <w:rFonts w:ascii="Georgia" w:hAnsi="Georgia"/>
                          <w:color w:val="333333"/>
                          <w:sz w:val="24"/>
                          <w:szCs w:val="24"/>
                        </w:rPr>
                      </w:pPr>
                    </w:p>
                    <w:p w14:paraId="049C6CD3" w14:textId="77777777" w:rsidR="00EF53D6" w:rsidRDefault="00EF53D6" w:rsidP="00EF53D6">
                      <w:pPr>
                        <w:pStyle w:val="NormalWeb"/>
                        <w:spacing w:before="2" w:after="2" w:line="360" w:lineRule="atLeast"/>
                      </w:pPr>
                    </w:p>
                  </w:txbxContent>
                </v:textbox>
                <w10:wrap anchorx="margin" anchory="page"/>
              </v:shape>
            </w:pict>
          </mc:Fallback>
        </mc:AlternateContent>
      </w:r>
      <w:r w:rsidR="003C3306">
        <w:rPr>
          <w:rFonts w:ascii="Times New Roman" w:hAnsi="Times New Roman"/>
          <w:noProof/>
          <w:sz w:val="24"/>
          <w:szCs w:val="24"/>
        </w:rPr>
        <w:drawing>
          <wp:anchor distT="36576" distB="36576" distL="36576" distR="36576" simplePos="0" relativeHeight="251671552" behindDoc="0" locked="0" layoutInCell="1" allowOverlap="1" wp14:anchorId="730B79BE" wp14:editId="384EF161">
            <wp:simplePos x="0" y="0"/>
            <wp:positionH relativeFrom="column">
              <wp:posOffset>-480060</wp:posOffset>
            </wp:positionH>
            <wp:positionV relativeFrom="paragraph">
              <wp:posOffset>-571500</wp:posOffset>
            </wp:positionV>
            <wp:extent cx="6995160" cy="1019810"/>
            <wp:effectExtent l="0" t="0" r="0" b="0"/>
            <wp:wrapNone/>
            <wp:docPr id="7" name="Picture 7"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995160" cy="1019810"/>
                    </a:xfrm>
                    <a:prstGeom prst="rect">
                      <a:avLst/>
                    </a:prstGeom>
                    <a:noFill/>
                    <a:ln>
                      <a:noFill/>
                    </a:ln>
                    <a:effectLst/>
                  </pic:spPr>
                </pic:pic>
              </a:graphicData>
            </a:graphic>
          </wp:anchor>
        </w:drawing>
      </w:r>
    </w:p>
    <w:sectPr w:rsidR="007B5C98" w:rsidSect="0066315F">
      <w:footerReference w:type="default" r:id="rId14"/>
      <w:pgSz w:w="12240" w:h="15840"/>
      <w:pgMar w:top="1440" w:right="1440" w:bottom="576" w:left="1440" w:header="720" w:footer="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7BF220" w14:textId="77777777" w:rsidR="00EF53D6" w:rsidRDefault="00EF53D6" w:rsidP="0066315F">
      <w:pPr>
        <w:spacing w:after="0" w:line="240" w:lineRule="auto"/>
      </w:pPr>
      <w:r>
        <w:separator/>
      </w:r>
    </w:p>
  </w:endnote>
  <w:endnote w:type="continuationSeparator" w:id="0">
    <w:p w14:paraId="438B6D3F" w14:textId="77777777" w:rsidR="00EF53D6" w:rsidRDefault="00EF53D6" w:rsidP="006631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287" w:usb1="00000000" w:usb2="00000000" w:usb3="00000000" w:csb0="0000009F"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15A06E" w14:textId="77777777" w:rsidR="00EF53D6" w:rsidRDefault="00EF53D6" w:rsidP="0066315F">
    <w:pPr>
      <w:widowControl w:val="0"/>
      <w:jc w:val="center"/>
      <w:rPr>
        <w:b/>
        <w:bCs/>
        <w:i/>
        <w:iCs/>
        <w:kern w:val="24"/>
      </w:rPr>
    </w:pPr>
    <w:r>
      <w:rPr>
        <w:b/>
        <w:bCs/>
        <w:i/>
        <w:iCs/>
        <w:kern w:val="24"/>
      </w:rPr>
      <w:t xml:space="preserve">Page  </w:t>
    </w:r>
    <w:r>
      <w:rPr>
        <w:b/>
        <w:bCs/>
        <w:i/>
        <w:iCs/>
        <w:kern w:val="24"/>
      </w:rPr>
      <w:fldChar w:fldCharType="begin"/>
    </w:r>
    <w:r w:rsidRPr="0066315F">
      <w:rPr>
        <w:b/>
        <w:bCs/>
        <w:i/>
        <w:iCs/>
        <w:kern w:val="24"/>
      </w:rPr>
      <w:instrText>Page</w:instrText>
    </w:r>
    <w:r>
      <w:rPr>
        <w:b/>
        <w:bCs/>
        <w:i/>
        <w:iCs/>
        <w:kern w:val="24"/>
      </w:rPr>
      <w:fldChar w:fldCharType="separate"/>
    </w:r>
    <w:r w:rsidR="00E11046">
      <w:rPr>
        <w:b/>
        <w:bCs/>
        <w:i/>
        <w:iCs/>
        <w:noProof/>
        <w:kern w:val="24"/>
      </w:rPr>
      <w:t>1</w:t>
    </w:r>
    <w:r>
      <w:rPr>
        <w:b/>
        <w:bCs/>
        <w:i/>
        <w:iCs/>
        <w:kern w:val="24"/>
      </w:rPr>
      <w:fldChar w:fldCharType="end"/>
    </w:r>
    <w:r>
      <w:rPr>
        <w:b/>
        <w:bCs/>
        <w:i/>
        <w:iCs/>
        <w:kern w:val="24"/>
      </w:rPr>
      <w:t xml:space="preserve">, Copyright © 2014 by Dr. Wendy </w:t>
    </w:r>
    <w:proofErr w:type="spellStart"/>
    <w:r>
      <w:rPr>
        <w:b/>
        <w:bCs/>
        <w:i/>
        <w:iCs/>
        <w:kern w:val="24"/>
      </w:rPr>
      <w:t>Tietz</w:t>
    </w:r>
    <w:proofErr w:type="spellEnd"/>
    <w:r>
      <w:rPr>
        <w:b/>
        <w:bCs/>
        <w:i/>
        <w:iCs/>
        <w:kern w:val="24"/>
      </w:rPr>
      <w:t xml:space="preserve">, </w:t>
    </w:r>
    <w:hyperlink r:id="rId1" w:history="1">
      <w:r>
        <w:rPr>
          <w:rStyle w:val="Hyperlink"/>
          <w:i/>
          <w:iCs/>
        </w:rPr>
        <w:t>http://accountingintheheadlines.com/</w:t>
      </w:r>
    </w:hyperlink>
    <w:r>
      <w:rPr>
        <w:i/>
        <w:iCs/>
      </w:rPr>
      <w:t xml:space="preserve"> </w:t>
    </w:r>
    <w:r>
      <w:rPr>
        <w:b/>
        <w:bCs/>
        <w:i/>
        <w:iCs/>
        <w:kern w:val="24"/>
      </w:rPr>
      <w:t xml:space="preserve"> </w:t>
    </w:r>
  </w:p>
  <w:p w14:paraId="7AB8525B" w14:textId="77777777" w:rsidR="00EF53D6" w:rsidRDefault="00EF53D6" w:rsidP="0066315F">
    <w:pPr>
      <w:widowControl w:val="0"/>
      <w:jc w:val="center"/>
      <w:rPr>
        <w:i/>
        <w:iCs/>
      </w:rPr>
    </w:pPr>
    <w:r>
      <w:rPr>
        <w:i/>
        <w:iCs/>
      </w:rPr>
      <w:t>This work is licensed under a </w:t>
    </w:r>
    <w:hyperlink r:id="rId2" w:history="1">
      <w:r>
        <w:rPr>
          <w:rStyle w:val="Hyperlink"/>
          <w:i/>
          <w:iCs/>
        </w:rPr>
        <w:t>Creative Commons Attribution-</w:t>
      </w:r>
      <w:proofErr w:type="spellStart"/>
      <w:r>
        <w:rPr>
          <w:rStyle w:val="Hyperlink"/>
          <w:i/>
          <w:iCs/>
        </w:rPr>
        <w:t>NonCommercial</w:t>
      </w:r>
      <w:proofErr w:type="spellEnd"/>
      <w:r>
        <w:rPr>
          <w:rStyle w:val="Hyperlink"/>
          <w:i/>
          <w:iCs/>
        </w:rPr>
        <w:t xml:space="preserve"> 3.0 </w:t>
      </w:r>
      <w:proofErr w:type="spellStart"/>
      <w:r>
        <w:rPr>
          <w:rStyle w:val="Hyperlink"/>
          <w:i/>
          <w:iCs/>
        </w:rPr>
        <w:t>Unported</w:t>
      </w:r>
      <w:proofErr w:type="spellEnd"/>
      <w:r>
        <w:rPr>
          <w:rStyle w:val="Hyperlink"/>
          <w:i/>
          <w:iCs/>
        </w:rPr>
        <w:t xml:space="preserve"> License</w:t>
      </w:r>
    </w:hyperlink>
    <w:proofErr w:type="gramStart"/>
    <w:r>
      <w:rPr>
        <w:i/>
        <w:iCs/>
      </w:rPr>
      <w:t xml:space="preserve"> .</w:t>
    </w:r>
    <w:proofErr w:type="gramEnd"/>
  </w:p>
  <w:p w14:paraId="0C3C6852" w14:textId="77777777" w:rsidR="00EF53D6" w:rsidRDefault="00EF53D6" w:rsidP="0066315F">
    <w:pPr>
      <w:widowControl w:val="0"/>
    </w:pPr>
    <w:r>
      <w:t> </w:t>
    </w:r>
  </w:p>
  <w:p w14:paraId="047ABDA0" w14:textId="77777777" w:rsidR="00EF53D6" w:rsidRDefault="00EF53D6">
    <w:pPr>
      <w:pStyle w:val="Footer"/>
    </w:pPr>
  </w:p>
  <w:p w14:paraId="73C96090" w14:textId="77777777" w:rsidR="00EF53D6" w:rsidRDefault="00EF53D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4B2379" w14:textId="77777777" w:rsidR="00EF53D6" w:rsidRDefault="00EF53D6" w:rsidP="0066315F">
      <w:pPr>
        <w:spacing w:after="0" w:line="240" w:lineRule="auto"/>
      </w:pPr>
      <w:r>
        <w:separator/>
      </w:r>
    </w:p>
  </w:footnote>
  <w:footnote w:type="continuationSeparator" w:id="0">
    <w:p w14:paraId="76863F9C" w14:textId="77777777" w:rsidR="00EF53D6" w:rsidRDefault="00EF53D6" w:rsidP="0066315F">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40BF1"/>
    <w:multiLevelType w:val="multilevel"/>
    <w:tmpl w:val="937EB0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95C4860"/>
    <w:multiLevelType w:val="multilevel"/>
    <w:tmpl w:val="954E6F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96F1273"/>
    <w:multiLevelType w:val="multilevel"/>
    <w:tmpl w:val="DBA856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0BC2D8A"/>
    <w:multiLevelType w:val="multilevel"/>
    <w:tmpl w:val="6E2281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EA85078"/>
    <w:multiLevelType w:val="multilevel"/>
    <w:tmpl w:val="B6A45F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0EF2A72"/>
    <w:multiLevelType w:val="multilevel"/>
    <w:tmpl w:val="1DCC6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21706EA"/>
    <w:multiLevelType w:val="multilevel"/>
    <w:tmpl w:val="D598D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32A41CE"/>
    <w:multiLevelType w:val="multilevel"/>
    <w:tmpl w:val="58FC54B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9462E0B"/>
    <w:multiLevelType w:val="multilevel"/>
    <w:tmpl w:val="298AD8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B3A1603"/>
    <w:multiLevelType w:val="multilevel"/>
    <w:tmpl w:val="403A3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18F6C5C"/>
    <w:multiLevelType w:val="multilevel"/>
    <w:tmpl w:val="A2D656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3B279B0"/>
    <w:multiLevelType w:val="hybridMultilevel"/>
    <w:tmpl w:val="4CB6645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382701F4"/>
    <w:multiLevelType w:val="multilevel"/>
    <w:tmpl w:val="2402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C1B26FF"/>
    <w:multiLevelType w:val="multilevel"/>
    <w:tmpl w:val="9D02E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487322B"/>
    <w:multiLevelType w:val="multilevel"/>
    <w:tmpl w:val="D48A4C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6D343A9"/>
    <w:multiLevelType w:val="multilevel"/>
    <w:tmpl w:val="DD6E72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18653B7"/>
    <w:multiLevelType w:val="multilevel"/>
    <w:tmpl w:val="9E8AB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4D362AF"/>
    <w:multiLevelType w:val="multilevel"/>
    <w:tmpl w:val="5DD651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56885883"/>
    <w:multiLevelType w:val="multilevel"/>
    <w:tmpl w:val="C8FE76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BE9503E"/>
    <w:multiLevelType w:val="hybridMultilevel"/>
    <w:tmpl w:val="64A8F50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07545DE"/>
    <w:multiLevelType w:val="multilevel"/>
    <w:tmpl w:val="4E104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625A67A7"/>
    <w:multiLevelType w:val="multilevel"/>
    <w:tmpl w:val="8CAE5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63DE75FE"/>
    <w:multiLevelType w:val="multilevel"/>
    <w:tmpl w:val="AF7CCE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B4E6A54"/>
    <w:multiLevelType w:val="multilevel"/>
    <w:tmpl w:val="AA2603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4790C6C"/>
    <w:multiLevelType w:val="multilevel"/>
    <w:tmpl w:val="75ACA2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7250656"/>
    <w:multiLevelType w:val="hybridMultilevel"/>
    <w:tmpl w:val="6100CEC8"/>
    <w:lvl w:ilvl="0" w:tplc="58B0ACDE">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num w:numId="1">
    <w:abstractNumId w:val="21"/>
  </w:num>
  <w:num w:numId="2">
    <w:abstractNumId w:val="19"/>
  </w:num>
  <w:num w:numId="3">
    <w:abstractNumId w:val="3"/>
  </w:num>
  <w:num w:numId="4">
    <w:abstractNumId w:val="4"/>
  </w:num>
  <w:num w:numId="5">
    <w:abstractNumId w:val="20"/>
  </w:num>
  <w:num w:numId="6">
    <w:abstractNumId w:val="13"/>
  </w:num>
  <w:num w:numId="7">
    <w:abstractNumId w:val="24"/>
  </w:num>
  <w:num w:numId="8">
    <w:abstractNumId w:val="7"/>
  </w:num>
  <w:num w:numId="9">
    <w:abstractNumId w:val="6"/>
  </w:num>
  <w:num w:numId="10">
    <w:abstractNumId w:val="12"/>
  </w:num>
  <w:num w:numId="11">
    <w:abstractNumId w:val="5"/>
  </w:num>
  <w:num w:numId="12">
    <w:abstractNumId w:val="1"/>
  </w:num>
  <w:num w:numId="13">
    <w:abstractNumId w:val="22"/>
  </w:num>
  <w:num w:numId="14">
    <w:abstractNumId w:val="9"/>
  </w:num>
  <w:num w:numId="15">
    <w:abstractNumId w:val="2"/>
  </w:num>
  <w:num w:numId="16">
    <w:abstractNumId w:val="10"/>
  </w:num>
  <w:num w:numId="17">
    <w:abstractNumId w:val="8"/>
  </w:num>
  <w:num w:numId="18">
    <w:abstractNumId w:val="23"/>
  </w:num>
  <w:num w:numId="19">
    <w:abstractNumId w:val="11"/>
  </w:num>
  <w:num w:numId="20">
    <w:abstractNumId w:val="16"/>
  </w:num>
  <w:num w:numId="21">
    <w:abstractNumId w:val="14"/>
  </w:num>
  <w:num w:numId="22">
    <w:abstractNumId w:val="18"/>
  </w:num>
  <w:num w:numId="23">
    <w:abstractNumId w:val="25"/>
  </w:num>
  <w:num w:numId="24">
    <w:abstractNumId w:val="0"/>
  </w:num>
  <w:num w:numId="25">
    <w:abstractNumId w:val="15"/>
  </w:num>
  <w:num w:numId="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315F"/>
    <w:rsid w:val="00065CF2"/>
    <w:rsid w:val="00086F7D"/>
    <w:rsid w:val="00161316"/>
    <w:rsid w:val="001820FE"/>
    <w:rsid w:val="001E6EA2"/>
    <w:rsid w:val="001F2191"/>
    <w:rsid w:val="0025551E"/>
    <w:rsid w:val="00263346"/>
    <w:rsid w:val="0027452A"/>
    <w:rsid w:val="002966C5"/>
    <w:rsid w:val="002A56BD"/>
    <w:rsid w:val="002C5491"/>
    <w:rsid w:val="002D5713"/>
    <w:rsid w:val="003201E5"/>
    <w:rsid w:val="00321AA1"/>
    <w:rsid w:val="003336CA"/>
    <w:rsid w:val="00333861"/>
    <w:rsid w:val="003844BC"/>
    <w:rsid w:val="003C3306"/>
    <w:rsid w:val="004270EF"/>
    <w:rsid w:val="00433B1C"/>
    <w:rsid w:val="00462D6E"/>
    <w:rsid w:val="00490F7C"/>
    <w:rsid w:val="004B77E7"/>
    <w:rsid w:val="0050711E"/>
    <w:rsid w:val="00572EF6"/>
    <w:rsid w:val="005D4BFD"/>
    <w:rsid w:val="005D6FC8"/>
    <w:rsid w:val="00612875"/>
    <w:rsid w:val="00615A0E"/>
    <w:rsid w:val="00654393"/>
    <w:rsid w:val="0066315F"/>
    <w:rsid w:val="006A2F9B"/>
    <w:rsid w:val="006E4DFE"/>
    <w:rsid w:val="007075BE"/>
    <w:rsid w:val="0072269C"/>
    <w:rsid w:val="007643B0"/>
    <w:rsid w:val="007A4D6B"/>
    <w:rsid w:val="007B5C98"/>
    <w:rsid w:val="00813DA4"/>
    <w:rsid w:val="00881C43"/>
    <w:rsid w:val="00894D30"/>
    <w:rsid w:val="00895DC3"/>
    <w:rsid w:val="008C57C9"/>
    <w:rsid w:val="008D2345"/>
    <w:rsid w:val="00944CF5"/>
    <w:rsid w:val="0097437C"/>
    <w:rsid w:val="009D44D3"/>
    <w:rsid w:val="009D4A38"/>
    <w:rsid w:val="00A02EB1"/>
    <w:rsid w:val="00A0529E"/>
    <w:rsid w:val="00A0758E"/>
    <w:rsid w:val="00A23B05"/>
    <w:rsid w:val="00A76B6C"/>
    <w:rsid w:val="00AF5BB5"/>
    <w:rsid w:val="00C27312"/>
    <w:rsid w:val="00CB019B"/>
    <w:rsid w:val="00D0619E"/>
    <w:rsid w:val="00D47793"/>
    <w:rsid w:val="00D95E78"/>
    <w:rsid w:val="00D97637"/>
    <w:rsid w:val="00E11046"/>
    <w:rsid w:val="00E93596"/>
    <w:rsid w:val="00ED0F41"/>
    <w:rsid w:val="00EE2FAE"/>
    <w:rsid w:val="00EF53D6"/>
    <w:rsid w:val="00F15D9E"/>
    <w:rsid w:val="00F22D75"/>
    <w:rsid w:val="00F52BC3"/>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05C6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276">
    <w:lsdException w:name="heading 1" w:uiPriority="9"/>
    <w:lsdException w:name="Hyperlink" w:uiPriority="99"/>
    <w:lsdException w:name="Strong" w:uiPriority="22" w:qFormat="1"/>
    <w:lsdException w:name="Emphasis" w:uiPriority="20" w:qFormat="1"/>
    <w:lsdException w:name="Normal (Web)" w:uiPriority="99"/>
    <w:lsdException w:name="List Paragraph" w:uiPriority="34" w:qFormat="1"/>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semiHidden/>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uiPriority w:val="34"/>
    <w:qFormat/>
    <w:rsid w:val="00612875"/>
    <w:pPr>
      <w:ind w:left="720"/>
      <w:contextualSpacing/>
    </w:pPr>
  </w:style>
  <w:style w:type="character" w:styleId="Strong">
    <w:name w:val="Strong"/>
    <w:basedOn w:val="DefaultParagraphFont"/>
    <w:uiPriority w:val="22"/>
    <w:qFormat/>
    <w:rsid w:val="00333861"/>
    <w:rPr>
      <w:b/>
    </w:rPr>
  </w:style>
  <w:style w:type="character" w:customStyle="1" w:styleId="apple-converted-space">
    <w:name w:val="apple-converted-space"/>
    <w:basedOn w:val="DefaultParagraphFont"/>
    <w:rsid w:val="00654393"/>
  </w:style>
  <w:style w:type="character" w:styleId="Emphasis">
    <w:name w:val="Emphasis"/>
    <w:basedOn w:val="DefaultParagraphFont"/>
    <w:uiPriority w:val="20"/>
    <w:qFormat/>
    <w:rsid w:val="00654393"/>
    <w:rPr>
      <w:i/>
    </w:rPr>
  </w:style>
  <w:style w:type="character" w:styleId="FollowedHyperlink">
    <w:name w:val="FollowedHyperlink"/>
    <w:basedOn w:val="DefaultParagraphFont"/>
    <w:rsid w:val="00615A0E"/>
    <w:rPr>
      <w:color w:val="954F72"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276">
    <w:lsdException w:name="heading 1" w:uiPriority="9"/>
    <w:lsdException w:name="Hyperlink" w:uiPriority="99"/>
    <w:lsdException w:name="Strong" w:uiPriority="22" w:qFormat="1"/>
    <w:lsdException w:name="Emphasis" w:uiPriority="20" w:qFormat="1"/>
    <w:lsdException w:name="Normal (Web)" w:uiPriority="99"/>
    <w:lsdException w:name="List Paragraph" w:uiPriority="34" w:qFormat="1"/>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semiHidden/>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uiPriority w:val="34"/>
    <w:qFormat/>
    <w:rsid w:val="00612875"/>
    <w:pPr>
      <w:ind w:left="720"/>
      <w:contextualSpacing/>
    </w:pPr>
  </w:style>
  <w:style w:type="character" w:styleId="Strong">
    <w:name w:val="Strong"/>
    <w:basedOn w:val="DefaultParagraphFont"/>
    <w:uiPriority w:val="22"/>
    <w:qFormat/>
    <w:rsid w:val="00333861"/>
    <w:rPr>
      <w:b/>
    </w:rPr>
  </w:style>
  <w:style w:type="character" w:customStyle="1" w:styleId="apple-converted-space">
    <w:name w:val="apple-converted-space"/>
    <w:basedOn w:val="DefaultParagraphFont"/>
    <w:rsid w:val="00654393"/>
  </w:style>
  <w:style w:type="character" w:styleId="Emphasis">
    <w:name w:val="Emphasis"/>
    <w:basedOn w:val="DefaultParagraphFont"/>
    <w:uiPriority w:val="20"/>
    <w:qFormat/>
    <w:rsid w:val="00654393"/>
    <w:rPr>
      <w:i/>
    </w:rPr>
  </w:style>
  <w:style w:type="character" w:styleId="FollowedHyperlink">
    <w:name w:val="FollowedHyperlink"/>
    <w:basedOn w:val="DefaultParagraphFont"/>
    <w:rsid w:val="00615A0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993515">
      <w:bodyDiv w:val="1"/>
      <w:marLeft w:val="0"/>
      <w:marRight w:val="0"/>
      <w:marTop w:val="0"/>
      <w:marBottom w:val="0"/>
      <w:divBdr>
        <w:top w:val="none" w:sz="0" w:space="0" w:color="auto"/>
        <w:left w:val="none" w:sz="0" w:space="0" w:color="auto"/>
        <w:bottom w:val="none" w:sz="0" w:space="0" w:color="auto"/>
        <w:right w:val="none" w:sz="0" w:space="0" w:color="auto"/>
      </w:divBdr>
    </w:div>
    <w:div w:id="219052592">
      <w:bodyDiv w:val="1"/>
      <w:marLeft w:val="0"/>
      <w:marRight w:val="0"/>
      <w:marTop w:val="0"/>
      <w:marBottom w:val="0"/>
      <w:divBdr>
        <w:top w:val="none" w:sz="0" w:space="0" w:color="auto"/>
        <w:left w:val="none" w:sz="0" w:space="0" w:color="auto"/>
        <w:bottom w:val="none" w:sz="0" w:space="0" w:color="auto"/>
        <w:right w:val="none" w:sz="0" w:space="0" w:color="auto"/>
      </w:divBdr>
    </w:div>
    <w:div w:id="300617847">
      <w:bodyDiv w:val="1"/>
      <w:marLeft w:val="0"/>
      <w:marRight w:val="0"/>
      <w:marTop w:val="0"/>
      <w:marBottom w:val="0"/>
      <w:divBdr>
        <w:top w:val="none" w:sz="0" w:space="0" w:color="auto"/>
        <w:left w:val="none" w:sz="0" w:space="0" w:color="auto"/>
        <w:bottom w:val="none" w:sz="0" w:space="0" w:color="auto"/>
        <w:right w:val="none" w:sz="0" w:space="0" w:color="auto"/>
      </w:divBdr>
    </w:div>
    <w:div w:id="522523286">
      <w:bodyDiv w:val="1"/>
      <w:marLeft w:val="0"/>
      <w:marRight w:val="0"/>
      <w:marTop w:val="0"/>
      <w:marBottom w:val="0"/>
      <w:divBdr>
        <w:top w:val="none" w:sz="0" w:space="0" w:color="auto"/>
        <w:left w:val="none" w:sz="0" w:space="0" w:color="auto"/>
        <w:bottom w:val="none" w:sz="0" w:space="0" w:color="auto"/>
        <w:right w:val="none" w:sz="0" w:space="0" w:color="auto"/>
      </w:divBdr>
    </w:div>
    <w:div w:id="732192363">
      <w:bodyDiv w:val="1"/>
      <w:marLeft w:val="0"/>
      <w:marRight w:val="0"/>
      <w:marTop w:val="0"/>
      <w:marBottom w:val="0"/>
      <w:divBdr>
        <w:top w:val="none" w:sz="0" w:space="0" w:color="auto"/>
        <w:left w:val="none" w:sz="0" w:space="0" w:color="auto"/>
        <w:bottom w:val="none" w:sz="0" w:space="0" w:color="auto"/>
        <w:right w:val="none" w:sz="0" w:space="0" w:color="auto"/>
      </w:divBdr>
    </w:div>
    <w:div w:id="733894668">
      <w:bodyDiv w:val="1"/>
      <w:marLeft w:val="0"/>
      <w:marRight w:val="0"/>
      <w:marTop w:val="0"/>
      <w:marBottom w:val="0"/>
      <w:divBdr>
        <w:top w:val="none" w:sz="0" w:space="0" w:color="auto"/>
        <w:left w:val="none" w:sz="0" w:space="0" w:color="auto"/>
        <w:bottom w:val="none" w:sz="0" w:space="0" w:color="auto"/>
        <w:right w:val="none" w:sz="0" w:space="0" w:color="auto"/>
      </w:divBdr>
    </w:div>
    <w:div w:id="767042590">
      <w:bodyDiv w:val="1"/>
      <w:marLeft w:val="0"/>
      <w:marRight w:val="0"/>
      <w:marTop w:val="0"/>
      <w:marBottom w:val="0"/>
      <w:divBdr>
        <w:top w:val="none" w:sz="0" w:space="0" w:color="auto"/>
        <w:left w:val="none" w:sz="0" w:space="0" w:color="auto"/>
        <w:bottom w:val="none" w:sz="0" w:space="0" w:color="auto"/>
        <w:right w:val="none" w:sz="0" w:space="0" w:color="auto"/>
      </w:divBdr>
    </w:div>
    <w:div w:id="803734232">
      <w:bodyDiv w:val="1"/>
      <w:marLeft w:val="0"/>
      <w:marRight w:val="0"/>
      <w:marTop w:val="0"/>
      <w:marBottom w:val="0"/>
      <w:divBdr>
        <w:top w:val="none" w:sz="0" w:space="0" w:color="auto"/>
        <w:left w:val="none" w:sz="0" w:space="0" w:color="auto"/>
        <w:bottom w:val="none" w:sz="0" w:space="0" w:color="auto"/>
        <w:right w:val="none" w:sz="0" w:space="0" w:color="auto"/>
      </w:divBdr>
    </w:div>
    <w:div w:id="1089692077">
      <w:bodyDiv w:val="1"/>
      <w:marLeft w:val="0"/>
      <w:marRight w:val="0"/>
      <w:marTop w:val="0"/>
      <w:marBottom w:val="0"/>
      <w:divBdr>
        <w:top w:val="none" w:sz="0" w:space="0" w:color="auto"/>
        <w:left w:val="none" w:sz="0" w:space="0" w:color="auto"/>
        <w:bottom w:val="none" w:sz="0" w:space="0" w:color="auto"/>
        <w:right w:val="none" w:sz="0" w:space="0" w:color="auto"/>
      </w:divBdr>
    </w:div>
    <w:div w:id="1125198602">
      <w:bodyDiv w:val="1"/>
      <w:marLeft w:val="0"/>
      <w:marRight w:val="0"/>
      <w:marTop w:val="0"/>
      <w:marBottom w:val="0"/>
      <w:divBdr>
        <w:top w:val="none" w:sz="0" w:space="0" w:color="auto"/>
        <w:left w:val="none" w:sz="0" w:space="0" w:color="auto"/>
        <w:bottom w:val="none" w:sz="0" w:space="0" w:color="auto"/>
        <w:right w:val="none" w:sz="0" w:space="0" w:color="auto"/>
      </w:divBdr>
    </w:div>
    <w:div w:id="1164080933">
      <w:bodyDiv w:val="1"/>
      <w:marLeft w:val="0"/>
      <w:marRight w:val="0"/>
      <w:marTop w:val="0"/>
      <w:marBottom w:val="0"/>
      <w:divBdr>
        <w:top w:val="none" w:sz="0" w:space="0" w:color="auto"/>
        <w:left w:val="none" w:sz="0" w:space="0" w:color="auto"/>
        <w:bottom w:val="none" w:sz="0" w:space="0" w:color="auto"/>
        <w:right w:val="none" w:sz="0" w:space="0" w:color="auto"/>
      </w:divBdr>
    </w:div>
    <w:div w:id="1174340589">
      <w:bodyDiv w:val="1"/>
      <w:marLeft w:val="0"/>
      <w:marRight w:val="0"/>
      <w:marTop w:val="0"/>
      <w:marBottom w:val="0"/>
      <w:divBdr>
        <w:top w:val="none" w:sz="0" w:space="0" w:color="auto"/>
        <w:left w:val="none" w:sz="0" w:space="0" w:color="auto"/>
        <w:bottom w:val="none" w:sz="0" w:space="0" w:color="auto"/>
        <w:right w:val="none" w:sz="0" w:space="0" w:color="auto"/>
      </w:divBdr>
    </w:div>
    <w:div w:id="1289317717">
      <w:bodyDiv w:val="1"/>
      <w:marLeft w:val="0"/>
      <w:marRight w:val="0"/>
      <w:marTop w:val="0"/>
      <w:marBottom w:val="0"/>
      <w:divBdr>
        <w:top w:val="none" w:sz="0" w:space="0" w:color="auto"/>
        <w:left w:val="none" w:sz="0" w:space="0" w:color="auto"/>
        <w:bottom w:val="none" w:sz="0" w:space="0" w:color="auto"/>
        <w:right w:val="none" w:sz="0" w:space="0" w:color="auto"/>
      </w:divBdr>
    </w:div>
    <w:div w:id="1400053345">
      <w:bodyDiv w:val="1"/>
      <w:marLeft w:val="0"/>
      <w:marRight w:val="0"/>
      <w:marTop w:val="0"/>
      <w:marBottom w:val="0"/>
      <w:divBdr>
        <w:top w:val="none" w:sz="0" w:space="0" w:color="auto"/>
        <w:left w:val="none" w:sz="0" w:space="0" w:color="auto"/>
        <w:bottom w:val="none" w:sz="0" w:space="0" w:color="auto"/>
        <w:right w:val="none" w:sz="0" w:space="0" w:color="auto"/>
      </w:divBdr>
    </w:div>
    <w:div w:id="1416828350">
      <w:bodyDiv w:val="1"/>
      <w:marLeft w:val="0"/>
      <w:marRight w:val="0"/>
      <w:marTop w:val="0"/>
      <w:marBottom w:val="0"/>
      <w:divBdr>
        <w:top w:val="none" w:sz="0" w:space="0" w:color="auto"/>
        <w:left w:val="none" w:sz="0" w:space="0" w:color="auto"/>
        <w:bottom w:val="none" w:sz="0" w:space="0" w:color="auto"/>
        <w:right w:val="none" w:sz="0" w:space="0" w:color="auto"/>
      </w:divBdr>
    </w:div>
    <w:div w:id="1425226900">
      <w:bodyDiv w:val="1"/>
      <w:marLeft w:val="0"/>
      <w:marRight w:val="0"/>
      <w:marTop w:val="0"/>
      <w:marBottom w:val="0"/>
      <w:divBdr>
        <w:top w:val="none" w:sz="0" w:space="0" w:color="auto"/>
        <w:left w:val="none" w:sz="0" w:space="0" w:color="auto"/>
        <w:bottom w:val="none" w:sz="0" w:space="0" w:color="auto"/>
        <w:right w:val="none" w:sz="0" w:space="0" w:color="auto"/>
      </w:divBdr>
    </w:div>
    <w:div w:id="1605335930">
      <w:bodyDiv w:val="1"/>
      <w:marLeft w:val="0"/>
      <w:marRight w:val="0"/>
      <w:marTop w:val="0"/>
      <w:marBottom w:val="0"/>
      <w:divBdr>
        <w:top w:val="none" w:sz="0" w:space="0" w:color="auto"/>
        <w:left w:val="none" w:sz="0" w:space="0" w:color="auto"/>
        <w:bottom w:val="none" w:sz="0" w:space="0" w:color="auto"/>
        <w:right w:val="none" w:sz="0" w:space="0" w:color="auto"/>
      </w:divBdr>
    </w:div>
    <w:div w:id="1626693915">
      <w:bodyDiv w:val="1"/>
      <w:marLeft w:val="0"/>
      <w:marRight w:val="0"/>
      <w:marTop w:val="0"/>
      <w:marBottom w:val="0"/>
      <w:divBdr>
        <w:top w:val="none" w:sz="0" w:space="0" w:color="auto"/>
        <w:left w:val="none" w:sz="0" w:space="0" w:color="auto"/>
        <w:bottom w:val="none" w:sz="0" w:space="0" w:color="auto"/>
        <w:right w:val="none" w:sz="0" w:space="0" w:color="auto"/>
      </w:divBdr>
    </w:div>
    <w:div w:id="1706057942">
      <w:bodyDiv w:val="1"/>
      <w:marLeft w:val="0"/>
      <w:marRight w:val="0"/>
      <w:marTop w:val="0"/>
      <w:marBottom w:val="0"/>
      <w:divBdr>
        <w:top w:val="none" w:sz="0" w:space="0" w:color="auto"/>
        <w:left w:val="none" w:sz="0" w:space="0" w:color="auto"/>
        <w:bottom w:val="none" w:sz="0" w:space="0" w:color="auto"/>
        <w:right w:val="none" w:sz="0" w:space="0" w:color="auto"/>
      </w:divBdr>
    </w:div>
    <w:div w:id="1709842842">
      <w:bodyDiv w:val="1"/>
      <w:marLeft w:val="0"/>
      <w:marRight w:val="0"/>
      <w:marTop w:val="0"/>
      <w:marBottom w:val="0"/>
      <w:divBdr>
        <w:top w:val="none" w:sz="0" w:space="0" w:color="auto"/>
        <w:left w:val="none" w:sz="0" w:space="0" w:color="auto"/>
        <w:bottom w:val="none" w:sz="0" w:space="0" w:color="auto"/>
        <w:right w:val="none" w:sz="0" w:space="0" w:color="auto"/>
      </w:divBdr>
    </w:div>
    <w:div w:id="1788039832">
      <w:bodyDiv w:val="1"/>
      <w:marLeft w:val="0"/>
      <w:marRight w:val="0"/>
      <w:marTop w:val="0"/>
      <w:marBottom w:val="0"/>
      <w:divBdr>
        <w:top w:val="none" w:sz="0" w:space="0" w:color="auto"/>
        <w:left w:val="none" w:sz="0" w:space="0" w:color="auto"/>
        <w:bottom w:val="none" w:sz="0" w:space="0" w:color="auto"/>
        <w:right w:val="none" w:sz="0" w:space="0" w:color="auto"/>
      </w:divBdr>
    </w:div>
    <w:div w:id="1838300138">
      <w:bodyDiv w:val="1"/>
      <w:marLeft w:val="0"/>
      <w:marRight w:val="0"/>
      <w:marTop w:val="0"/>
      <w:marBottom w:val="0"/>
      <w:divBdr>
        <w:top w:val="none" w:sz="0" w:space="0" w:color="auto"/>
        <w:left w:val="none" w:sz="0" w:space="0" w:color="auto"/>
        <w:bottom w:val="none" w:sz="0" w:space="0" w:color="auto"/>
        <w:right w:val="none" w:sz="0" w:space="0" w:color="auto"/>
      </w:divBdr>
    </w:div>
    <w:div w:id="1865702736">
      <w:bodyDiv w:val="1"/>
      <w:marLeft w:val="0"/>
      <w:marRight w:val="0"/>
      <w:marTop w:val="0"/>
      <w:marBottom w:val="0"/>
      <w:divBdr>
        <w:top w:val="none" w:sz="0" w:space="0" w:color="auto"/>
        <w:left w:val="none" w:sz="0" w:space="0" w:color="auto"/>
        <w:bottom w:val="none" w:sz="0" w:space="0" w:color="auto"/>
        <w:right w:val="none" w:sz="0" w:space="0" w:color="auto"/>
      </w:divBdr>
    </w:div>
    <w:div w:id="1892572821">
      <w:bodyDiv w:val="1"/>
      <w:marLeft w:val="0"/>
      <w:marRight w:val="0"/>
      <w:marTop w:val="0"/>
      <w:marBottom w:val="0"/>
      <w:divBdr>
        <w:top w:val="none" w:sz="0" w:space="0" w:color="auto"/>
        <w:left w:val="none" w:sz="0" w:space="0" w:color="auto"/>
        <w:bottom w:val="none" w:sz="0" w:space="0" w:color="auto"/>
        <w:right w:val="none" w:sz="0" w:space="0" w:color="auto"/>
      </w:divBdr>
    </w:div>
    <w:div w:id="1905487894">
      <w:bodyDiv w:val="1"/>
      <w:marLeft w:val="0"/>
      <w:marRight w:val="0"/>
      <w:marTop w:val="0"/>
      <w:marBottom w:val="0"/>
      <w:divBdr>
        <w:top w:val="none" w:sz="0" w:space="0" w:color="auto"/>
        <w:left w:val="none" w:sz="0" w:space="0" w:color="auto"/>
        <w:bottom w:val="none" w:sz="0" w:space="0" w:color="auto"/>
        <w:right w:val="none" w:sz="0" w:space="0" w:color="auto"/>
      </w:divBdr>
    </w:div>
    <w:div w:id="1976449719">
      <w:bodyDiv w:val="1"/>
      <w:marLeft w:val="0"/>
      <w:marRight w:val="0"/>
      <w:marTop w:val="0"/>
      <w:marBottom w:val="0"/>
      <w:divBdr>
        <w:top w:val="none" w:sz="0" w:space="0" w:color="auto"/>
        <w:left w:val="none" w:sz="0" w:space="0" w:color="auto"/>
        <w:bottom w:val="none" w:sz="0" w:space="0" w:color="auto"/>
        <w:right w:val="none" w:sz="0" w:space="0" w:color="auto"/>
      </w:divBdr>
    </w:div>
    <w:div w:id="1990284357">
      <w:bodyDiv w:val="1"/>
      <w:marLeft w:val="0"/>
      <w:marRight w:val="0"/>
      <w:marTop w:val="0"/>
      <w:marBottom w:val="0"/>
      <w:divBdr>
        <w:top w:val="none" w:sz="0" w:space="0" w:color="auto"/>
        <w:left w:val="none" w:sz="0" w:space="0" w:color="auto"/>
        <w:bottom w:val="none" w:sz="0" w:space="0" w:color="auto"/>
        <w:right w:val="none" w:sz="0" w:space="0" w:color="auto"/>
      </w:divBdr>
    </w:div>
    <w:div w:id="2045984019">
      <w:bodyDiv w:val="1"/>
      <w:marLeft w:val="0"/>
      <w:marRight w:val="0"/>
      <w:marTop w:val="0"/>
      <w:marBottom w:val="0"/>
      <w:divBdr>
        <w:top w:val="none" w:sz="0" w:space="0" w:color="auto"/>
        <w:left w:val="none" w:sz="0" w:space="0" w:color="auto"/>
        <w:bottom w:val="none" w:sz="0" w:space="0" w:color="auto"/>
        <w:right w:val="none" w:sz="0" w:space="0" w:color="auto"/>
      </w:divBdr>
    </w:div>
    <w:div w:id="2100520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thewaltdisneycompany.com/investors" TargetMode="External"/><Relationship Id="rId12" Type="http://schemas.openxmlformats.org/officeDocument/2006/relationships/hyperlink" Target="http://www.sec.gov/Archives/edgar/data/1001039/000100103914000228/fy2014_q4x10k.htm" TargetMode="External"/><Relationship Id="rId13" Type="http://schemas.openxmlformats.org/officeDocument/2006/relationships/image" Target="media/image1.png"/><Relationship Id="rId14" Type="http://schemas.openxmlformats.org/officeDocument/2006/relationships/footer" Target="foot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thewaltdisneycompany.com/investors" TargetMode="External"/><Relationship Id="rId10" Type="http://schemas.openxmlformats.org/officeDocument/2006/relationships/hyperlink" Target="http://www.sec.gov/Archives/edgar/data/1001039/000100103914000228/fy2014_q4x10k.ht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accountingintheheadlines.com/" TargetMode="External"/><Relationship Id="rId2" Type="http://schemas.openxmlformats.org/officeDocument/2006/relationships/hyperlink" Target="http://creativecommons.org/licenses/by-nc/3.0/deed.en_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D1C7E7-870A-6B48-817B-C53E6EC21E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1</Words>
  <Characters>7</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Hallie DAgostino</cp:lastModifiedBy>
  <cp:revision>4</cp:revision>
  <cp:lastPrinted>2015-02-02T00:35:00Z</cp:lastPrinted>
  <dcterms:created xsi:type="dcterms:W3CDTF">2015-02-02T00:41:00Z</dcterms:created>
  <dcterms:modified xsi:type="dcterms:W3CDTF">2015-02-02T00:45:00Z</dcterms:modified>
</cp:coreProperties>
</file>