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4475" w:rsidRPr="00E2111F" w:rsidRDefault="00174475" w:rsidP="00174475">
      <w:pPr>
        <w:rPr>
          <w:b/>
          <w:sz w:val="28"/>
        </w:rPr>
      </w:pPr>
      <w:r w:rsidRPr="00E2111F">
        <w:rPr>
          <w:b/>
          <w:sz w:val="28"/>
        </w:rPr>
        <w:t>What does Walt Disney’s Form 10-</w:t>
      </w:r>
      <w:r w:rsidR="00E2111F" w:rsidRPr="00E2111F">
        <w:rPr>
          <w:b/>
          <w:sz w:val="28"/>
        </w:rPr>
        <w:t>K</w:t>
      </w:r>
      <w:r w:rsidRPr="00E2111F">
        <w:rPr>
          <w:b/>
          <w:sz w:val="28"/>
        </w:rPr>
        <w:t xml:space="preserve"> communicate about its PP&amp;E?</w:t>
      </w:r>
    </w:p>
    <w:p w:rsidR="00E2111F" w:rsidRDefault="00E2111F" w:rsidP="00174475"/>
    <w:p w:rsidR="00174475" w:rsidRDefault="00174475" w:rsidP="00174475">
      <w:r>
        <w:t>In February 2015, The Walt Disney Company (</w:t>
      </w:r>
      <w:hyperlink r:id="rId7" w:history="1">
        <w:r w:rsidRPr="00A52D3B">
          <w:rPr>
            <w:rStyle w:val="Hyperlink"/>
          </w:rPr>
          <w:t>DIS</w:t>
        </w:r>
      </w:hyperlink>
      <w:r>
        <w:t xml:space="preserve">) unveiled its new interactive queue for one of its oldest attractions at its Magic Kingdom Park (Walt Disney World) in Orlando, Peter Pan’s Flight (see video </w:t>
      </w:r>
      <w:hyperlink r:id="rId8" w:history="1">
        <w:r w:rsidRPr="00FA4925">
          <w:rPr>
            <w:rStyle w:val="Hyperlink"/>
          </w:rPr>
          <w:t>here</w:t>
        </w:r>
      </w:hyperlink>
      <w:r>
        <w:t>.) As guests wait in line, they enter into the Darling’s foyer. From the foyer, guests head into the children’s nursery. Tinker Bell is seemingly in the room and guests can interact with Tinker Bell and other items in the room.  There is a shadow interaction feature created by Disney developers (“</w:t>
      </w:r>
      <w:r w:rsidR="00D902A5">
        <w:t>Imagineering</w:t>
      </w:r>
      <w:bookmarkStart w:id="0" w:name="_GoBack"/>
      <w:bookmarkEnd w:id="0"/>
      <w:r>
        <w:t xml:space="preserve"> employees”) that allows guests to “play” with shadows.</w:t>
      </w:r>
    </w:p>
    <w:p w:rsidR="00174475" w:rsidRDefault="00174475" w:rsidP="00174475">
      <w:r>
        <w:t>Walt Disney invests a lot of money into its parks, including upgrades as described above.  See two excerpts from Walt Disney’s 2014 Form 10-</w:t>
      </w:r>
      <w:r w:rsidR="00E2111F">
        <w:t>K</w:t>
      </w:r>
      <w:r>
        <w:t>: a partial balance sheet (page 66) and a section from the notes to financial statements (page 77).</w:t>
      </w:r>
    </w:p>
    <w:p w:rsidR="00174475" w:rsidRPr="008404A3" w:rsidRDefault="00174475" w:rsidP="00174475">
      <w:pPr>
        <w:rPr>
          <w:b/>
        </w:rPr>
      </w:pPr>
      <w:r w:rsidRPr="008404A3">
        <w:rPr>
          <w:b/>
        </w:rPr>
        <w:t>Questions</w:t>
      </w:r>
    </w:p>
    <w:p w:rsidR="00174475" w:rsidRDefault="00174475" w:rsidP="00174475">
      <w:pPr>
        <w:pStyle w:val="ListParagraph"/>
        <w:numPr>
          <w:ilvl w:val="0"/>
          <w:numId w:val="1"/>
        </w:numPr>
      </w:pPr>
      <w:r>
        <w:t>What type</w:t>
      </w:r>
      <w:r w:rsidR="008824E5">
        <w:t>s</w:t>
      </w:r>
      <w:r>
        <w:t xml:space="preserve"> of plant assets does Walt Disney have?</w:t>
      </w:r>
    </w:p>
    <w:p w:rsidR="00174475" w:rsidRDefault="00174475" w:rsidP="00174475">
      <w:pPr>
        <w:pStyle w:val="ListParagraph"/>
        <w:numPr>
          <w:ilvl w:val="0"/>
          <w:numId w:val="1"/>
        </w:numPr>
      </w:pPr>
      <w:r>
        <w:t>What depreciation method does Walt Disney use?</w:t>
      </w:r>
    </w:p>
    <w:p w:rsidR="00174475" w:rsidRDefault="00174475" w:rsidP="00174475">
      <w:pPr>
        <w:pStyle w:val="ListParagraph"/>
        <w:numPr>
          <w:ilvl w:val="0"/>
          <w:numId w:val="1"/>
        </w:numPr>
      </w:pPr>
      <w:r>
        <w:t>What is the net book value of all of Walt Disney’s PP&amp;E?</w:t>
      </w:r>
    </w:p>
    <w:p w:rsidR="00174475" w:rsidRDefault="00174475" w:rsidP="00174475">
      <w:pPr>
        <w:pStyle w:val="ListParagraph"/>
        <w:numPr>
          <w:ilvl w:val="0"/>
          <w:numId w:val="1"/>
        </w:numPr>
      </w:pPr>
      <w:r>
        <w:t>Give an example of each type of PP&amp;E listed in the Notes excerpt.</w:t>
      </w:r>
    </w:p>
    <w:p w:rsidR="00174475" w:rsidRDefault="00174475" w:rsidP="00174475">
      <w:pPr>
        <w:pStyle w:val="ListParagraph"/>
        <w:numPr>
          <w:ilvl w:val="0"/>
          <w:numId w:val="1"/>
        </w:numPr>
      </w:pPr>
      <w:r>
        <w:t xml:space="preserve">The category of “Furniture, fixtures, and equipment” has a range of estimated life in years from 3 – 25 years.  Give an example of a specific asset that might be in this category.  What might be its estimated life and why?   </w:t>
      </w:r>
    </w:p>
    <w:p w:rsidR="00174475" w:rsidRDefault="00174475">
      <w:pPr>
        <w:rPr>
          <w:b/>
          <w:sz w:val="24"/>
        </w:rPr>
      </w:pPr>
      <w:r>
        <w:rPr>
          <w:b/>
          <w:sz w:val="24"/>
        </w:rPr>
        <w:br w:type="page"/>
      </w:r>
    </w:p>
    <w:p w:rsidR="007B5C98" w:rsidRPr="005D325C" w:rsidRDefault="00432157" w:rsidP="005D325C">
      <w:pPr>
        <w:jc w:val="center"/>
        <w:rPr>
          <w:b/>
          <w:sz w:val="24"/>
        </w:rPr>
      </w:pPr>
      <w:r>
        <w:rPr>
          <w:b/>
          <w:sz w:val="24"/>
        </w:rPr>
        <w:lastRenderedPageBreak/>
        <w:t xml:space="preserve">PP&amp;E </w:t>
      </w:r>
      <w:r w:rsidR="005D325C" w:rsidRPr="005D325C">
        <w:rPr>
          <w:b/>
          <w:sz w:val="24"/>
        </w:rPr>
        <w:t>Excerpts from Walt Disney’s 2014 Form 10</w:t>
      </w:r>
      <w:r w:rsidR="00E2111F">
        <w:rPr>
          <w:b/>
          <w:sz w:val="24"/>
        </w:rPr>
        <w:t>-K</w:t>
      </w:r>
      <w:r w:rsidR="005D325C" w:rsidRPr="005D325C">
        <w:rPr>
          <w:b/>
          <w:sz w:val="24"/>
        </w:rPr>
        <w:t>:</w:t>
      </w:r>
    </w:p>
    <w:p w:rsidR="005D325C" w:rsidRPr="005D325C" w:rsidRDefault="005D325C">
      <w:pPr>
        <w:rPr>
          <w:b/>
          <w:i/>
        </w:rPr>
      </w:pPr>
      <w:r w:rsidRPr="005D325C">
        <w:rPr>
          <w:b/>
          <w:i/>
        </w:rPr>
        <w:t>Asset section of the balance sheet (page 66 in 2014 Form 10-</w:t>
      </w:r>
      <w:r w:rsidR="00E2111F">
        <w:rPr>
          <w:b/>
          <w:i/>
        </w:rPr>
        <w:t>K</w:t>
      </w:r>
      <w:r w:rsidRPr="005D325C">
        <w:rPr>
          <w:b/>
          <w:i/>
        </w:rPr>
        <w:t>):</w:t>
      </w:r>
    </w:p>
    <w:p w:rsidR="005D325C" w:rsidRDefault="005D325C"/>
    <w:p w:rsidR="005D325C" w:rsidRDefault="005D325C">
      <w:r>
        <w:rPr>
          <w:noProof/>
        </w:rPr>
        <w:drawing>
          <wp:inline distT="0" distB="0" distL="0" distR="0" wp14:anchorId="7A22540B" wp14:editId="11FF13A6">
            <wp:extent cx="5943600" cy="455993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4559935"/>
                    </a:xfrm>
                    <a:prstGeom prst="rect">
                      <a:avLst/>
                    </a:prstGeom>
                  </pic:spPr>
                </pic:pic>
              </a:graphicData>
            </a:graphic>
          </wp:inline>
        </w:drawing>
      </w:r>
    </w:p>
    <w:p w:rsidR="005D325C" w:rsidRDefault="005D325C"/>
    <w:p w:rsidR="005D325C" w:rsidRPr="005D325C" w:rsidRDefault="005D325C">
      <w:pPr>
        <w:rPr>
          <w:b/>
          <w:i/>
        </w:rPr>
      </w:pPr>
      <w:r w:rsidRPr="005D325C">
        <w:rPr>
          <w:b/>
          <w:i/>
        </w:rPr>
        <w:t>Notes to financial statements in 2014 Form 10-</w:t>
      </w:r>
      <w:r w:rsidR="00E2111F">
        <w:rPr>
          <w:b/>
          <w:i/>
        </w:rPr>
        <w:t>K</w:t>
      </w:r>
      <w:r w:rsidRPr="005D325C">
        <w:rPr>
          <w:b/>
          <w:i/>
        </w:rPr>
        <w:t>, page 77:</w:t>
      </w:r>
    </w:p>
    <w:p w:rsidR="005D325C" w:rsidRDefault="005D325C">
      <w:r>
        <w:rPr>
          <w:noProof/>
        </w:rPr>
        <w:drawing>
          <wp:inline distT="0" distB="0" distL="0" distR="0" wp14:anchorId="30FC6D59" wp14:editId="5EFBB92C">
            <wp:extent cx="5943600" cy="148780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1487805"/>
                    </a:xfrm>
                    <a:prstGeom prst="rect">
                      <a:avLst/>
                    </a:prstGeom>
                  </pic:spPr>
                </pic:pic>
              </a:graphicData>
            </a:graphic>
          </wp:inline>
        </w:drawing>
      </w:r>
    </w:p>
    <w:sectPr w:rsidR="005D325C">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2678E" w:rsidRDefault="0082678E" w:rsidP="00174475">
      <w:pPr>
        <w:spacing w:after="0" w:line="240" w:lineRule="auto"/>
      </w:pPr>
      <w:r>
        <w:separator/>
      </w:r>
    </w:p>
  </w:endnote>
  <w:endnote w:type="continuationSeparator" w:id="0">
    <w:p w:rsidR="0082678E" w:rsidRDefault="0082678E" w:rsidP="001744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4475" w:rsidRDefault="00174475" w:rsidP="00174475">
    <w:pPr>
      <w:widowControl w:val="0"/>
      <w:jc w:val="center"/>
      <w:rPr>
        <w:b/>
        <w:bCs/>
        <w:i/>
        <w:iCs/>
        <w:kern w:val="24"/>
      </w:rPr>
    </w:pPr>
    <w:r>
      <w:rPr>
        <w:b/>
        <w:bCs/>
        <w:i/>
        <w:iCs/>
        <w:kern w:val="24"/>
      </w:rPr>
      <w:t xml:space="preserve">Copyright © 2015 by Dr. Wendy Tietz, </w:t>
    </w:r>
    <w:hyperlink r:id="rId1" w:history="1">
      <w:r>
        <w:rPr>
          <w:rStyle w:val="Hyperlink"/>
          <w:i/>
          <w:iCs/>
        </w:rPr>
        <w:t>http://accountingintheheadlines.com/</w:t>
      </w:r>
    </w:hyperlink>
    <w:r>
      <w:rPr>
        <w:i/>
        <w:iCs/>
      </w:rPr>
      <w:t xml:space="preserve"> </w:t>
    </w:r>
    <w:r>
      <w:rPr>
        <w:b/>
        <w:bCs/>
        <w:i/>
        <w:iCs/>
        <w:kern w:val="24"/>
      </w:rPr>
      <w:t xml:space="preserve"> </w:t>
    </w:r>
  </w:p>
  <w:p w:rsidR="00174475" w:rsidRDefault="00174475" w:rsidP="00174475">
    <w:pPr>
      <w:widowControl w:val="0"/>
      <w:jc w:val="center"/>
      <w:rPr>
        <w:i/>
        <w:iCs/>
      </w:rPr>
    </w:pPr>
    <w:r>
      <w:rPr>
        <w:i/>
        <w:iCs/>
      </w:rPr>
      <w:t>This work is licensed under a </w:t>
    </w:r>
    <w:hyperlink r:id="rId2" w:history="1">
      <w:r>
        <w:rPr>
          <w:rStyle w:val="Hyperlink"/>
          <w:i/>
          <w:iCs/>
        </w:rPr>
        <w:t>Creative Commons Attribution-NonCommercial 3.0 Unported License</w:t>
      </w:r>
    </w:hyperlink>
    <w:r>
      <w:rPr>
        <w:i/>
        <w:iCs/>
      </w:rPr>
      <w:t xml:space="preserve"> .</w:t>
    </w:r>
  </w:p>
  <w:p w:rsidR="00174475" w:rsidRDefault="00174475">
    <w:pPr>
      <w:pStyle w:val="Footer"/>
      <w:tabs>
        <w:tab w:val="clear" w:pos="4680"/>
        <w:tab w:val="clear" w:pos="9360"/>
      </w:tabs>
      <w:jc w:val="center"/>
      <w:rPr>
        <w:caps/>
        <w:noProof/>
        <w:color w:val="5B9BD5" w:themeColor="accent1"/>
      </w:rPr>
    </w:pPr>
    <w:r>
      <w:rPr>
        <w:caps/>
        <w:color w:val="5B9BD5" w:themeColor="accent1"/>
      </w:rPr>
      <w:fldChar w:fldCharType="begin"/>
    </w:r>
    <w:r>
      <w:rPr>
        <w:caps/>
        <w:color w:val="5B9BD5" w:themeColor="accent1"/>
      </w:rPr>
      <w:instrText xml:space="preserve"> PAGE   \* MERGEFORMAT </w:instrText>
    </w:r>
    <w:r>
      <w:rPr>
        <w:caps/>
        <w:color w:val="5B9BD5" w:themeColor="accent1"/>
      </w:rPr>
      <w:fldChar w:fldCharType="separate"/>
    </w:r>
    <w:r w:rsidR="00D902A5">
      <w:rPr>
        <w:caps/>
        <w:noProof/>
        <w:color w:val="5B9BD5" w:themeColor="accent1"/>
      </w:rPr>
      <w:t>2</w:t>
    </w:r>
    <w:r>
      <w:rPr>
        <w:caps/>
        <w:noProof/>
        <w:color w:val="5B9BD5" w:themeColor="accent1"/>
      </w:rPr>
      <w:fldChar w:fldCharType="end"/>
    </w:r>
  </w:p>
  <w:p w:rsidR="00174475" w:rsidRDefault="0017447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2678E" w:rsidRDefault="0082678E" w:rsidP="00174475">
      <w:pPr>
        <w:spacing w:after="0" w:line="240" w:lineRule="auto"/>
      </w:pPr>
      <w:r>
        <w:separator/>
      </w:r>
    </w:p>
  </w:footnote>
  <w:footnote w:type="continuationSeparator" w:id="0">
    <w:p w:rsidR="0082678E" w:rsidRDefault="0082678E" w:rsidP="00174475">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6036010"/>
    <w:multiLevelType w:val="hybridMultilevel"/>
    <w:tmpl w:val="A77833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25C"/>
    <w:rsid w:val="00174475"/>
    <w:rsid w:val="00432157"/>
    <w:rsid w:val="00433B1C"/>
    <w:rsid w:val="005D325C"/>
    <w:rsid w:val="006C1AC2"/>
    <w:rsid w:val="006E4DFE"/>
    <w:rsid w:val="007B5C98"/>
    <w:rsid w:val="0082678E"/>
    <w:rsid w:val="008824E5"/>
    <w:rsid w:val="00D474EE"/>
    <w:rsid w:val="00D902A5"/>
    <w:rsid w:val="00E2111F"/>
    <w:rsid w:val="00FF61B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61A9711-6377-4F32-AAA8-5D4F6410E5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rsid w:val="00174475"/>
    <w:pPr>
      <w:spacing w:beforeLines="1" w:afterLines="1" w:after="120" w:line="240" w:lineRule="auto"/>
      <w:outlineLvl w:val="0"/>
    </w:pPr>
    <w:rPr>
      <w:rFonts w:ascii="Times" w:hAnsi="Times"/>
      <w:b/>
      <w:kern w:val="36"/>
      <w:sz w:val="4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D325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D325C"/>
    <w:rPr>
      <w:rFonts w:ascii="Segoe UI" w:hAnsi="Segoe UI" w:cs="Segoe UI"/>
      <w:sz w:val="18"/>
      <w:szCs w:val="18"/>
    </w:rPr>
  </w:style>
  <w:style w:type="character" w:customStyle="1" w:styleId="Heading1Char">
    <w:name w:val="Heading 1 Char"/>
    <w:basedOn w:val="DefaultParagraphFont"/>
    <w:link w:val="Heading1"/>
    <w:uiPriority w:val="9"/>
    <w:rsid w:val="00174475"/>
    <w:rPr>
      <w:rFonts w:ascii="Times" w:hAnsi="Times"/>
      <w:b/>
      <w:kern w:val="36"/>
      <w:sz w:val="48"/>
      <w:szCs w:val="20"/>
    </w:rPr>
  </w:style>
  <w:style w:type="paragraph" w:styleId="Header">
    <w:name w:val="header"/>
    <w:basedOn w:val="Normal"/>
    <w:link w:val="HeaderChar"/>
    <w:uiPriority w:val="99"/>
    <w:unhideWhenUsed/>
    <w:rsid w:val="001744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4475"/>
  </w:style>
  <w:style w:type="paragraph" w:styleId="Footer">
    <w:name w:val="footer"/>
    <w:basedOn w:val="Normal"/>
    <w:link w:val="FooterChar"/>
    <w:uiPriority w:val="99"/>
    <w:unhideWhenUsed/>
    <w:rsid w:val="001744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4475"/>
  </w:style>
  <w:style w:type="character" w:styleId="Hyperlink">
    <w:name w:val="Hyperlink"/>
    <w:basedOn w:val="DefaultParagraphFont"/>
    <w:uiPriority w:val="99"/>
    <w:semiHidden/>
    <w:unhideWhenUsed/>
    <w:rsid w:val="00174475"/>
    <w:rPr>
      <w:color w:val="085296"/>
      <w:u w:val="single"/>
    </w:rPr>
  </w:style>
  <w:style w:type="paragraph" w:styleId="ListParagraph">
    <w:name w:val="List Paragraph"/>
    <w:basedOn w:val="Normal"/>
    <w:uiPriority w:val="34"/>
    <w:qFormat/>
    <w:rsid w:val="0017447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youtu.be/weXws7eB228"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thewaltdisneycompany.com/investors"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2" Type="http://schemas.openxmlformats.org/officeDocument/2006/relationships/hyperlink" Target="http://creativecommons.org/licenses/by-nc/3.0/deed.en_US" TargetMode="External"/><Relationship Id="rId1" Type="http://schemas.openxmlformats.org/officeDocument/2006/relationships/hyperlink" Target="http://accountingintheheadlin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241</Words>
  <Characters>1376</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Wendy Tietz</dc:creator>
  <cp:keywords/>
  <dc:description/>
  <cp:lastModifiedBy>Wendy Tietz</cp:lastModifiedBy>
  <cp:revision>3</cp:revision>
  <cp:lastPrinted>2015-02-08T13:04:00Z</cp:lastPrinted>
  <dcterms:created xsi:type="dcterms:W3CDTF">2015-02-08T15:11:00Z</dcterms:created>
  <dcterms:modified xsi:type="dcterms:W3CDTF">2015-02-08T15:11:00Z</dcterms:modified>
</cp:coreProperties>
</file>