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D0D4F2" w14:textId="1586A9DD" w:rsidR="007B5C98" w:rsidRDefault="00D4291A">
      <w:r>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0E862175" wp14:editId="4150337B">
                <wp:simplePos x="0" y="0"/>
                <wp:positionH relativeFrom="margin">
                  <wp:posOffset>-457200</wp:posOffset>
                </wp:positionH>
                <wp:positionV relativeFrom="page">
                  <wp:posOffset>2857500</wp:posOffset>
                </wp:positionV>
                <wp:extent cx="6812280" cy="6271260"/>
                <wp:effectExtent l="0" t="0" r="0" b="254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2712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9ABB81A" w14:textId="77777777" w:rsidR="00D4291A" w:rsidRDefault="00D4291A" w:rsidP="00D4291A">
                            <w:pPr>
                              <w:pStyle w:val="NormalWeb"/>
                              <w:spacing w:before="2" w:after="2" w:line="360" w:lineRule="atLeast"/>
                              <w:rPr>
                                <w:rFonts w:ascii="Georgia" w:hAnsi="Georgia"/>
                                <w:color w:val="333333"/>
                                <w:sz w:val="24"/>
                                <w:szCs w:val="24"/>
                              </w:rPr>
                            </w:pPr>
                            <w:r>
                              <w:rPr>
                                <w:rFonts w:ascii="Georgia" w:hAnsi="Georgia"/>
                                <w:color w:val="333333"/>
                                <w:sz w:val="24"/>
                                <w:szCs w:val="24"/>
                              </w:rPr>
                              <w:t>Fiat Chrysler Automobiles (</w:t>
                            </w:r>
                            <w:hyperlink r:id="rId9" w:history="1">
                              <w:r>
                                <w:rPr>
                                  <w:rStyle w:val="Hyperlink"/>
                                  <w:rFonts w:ascii="Georgia" w:hAnsi="Georgia"/>
                                  <w:sz w:val="24"/>
                                  <w:szCs w:val="24"/>
                                </w:rPr>
                                <w:t>FCA</w:t>
                              </w:r>
                            </w:hyperlink>
                            <w:r>
                              <w:rPr>
                                <w:rFonts w:ascii="Georgia" w:hAnsi="Georgia"/>
                                <w:color w:val="333333"/>
                                <w:sz w:val="24"/>
                                <w:szCs w:val="24"/>
                              </w:rPr>
                              <w:t>) launched a $2.5 billion convertible bond issue in December 2014.  FCA will be using the funds generated from the bond issue to help to turn its Jeep, Maserati, and Alfa Romeo brands into global brands, competing directly against Volkswagen and BMW in the premium car market</w:t>
                            </w:r>
                            <w:bookmarkStart w:id="0" w:name="_GoBack"/>
                            <w:bookmarkEnd w:id="0"/>
                            <w:r>
                              <w:rPr>
                                <w:rFonts w:ascii="Georgia" w:hAnsi="Georgia"/>
                                <w:color w:val="333333"/>
                                <w:sz w:val="24"/>
                                <w:szCs w:val="24"/>
                              </w:rPr>
                              <w:t>.</w:t>
                            </w:r>
                          </w:p>
                          <w:p w14:paraId="48649A97" w14:textId="77777777" w:rsidR="00D4291A" w:rsidRDefault="00D4291A" w:rsidP="00D4291A">
                            <w:pPr>
                              <w:pStyle w:val="NormalWeb"/>
                              <w:spacing w:before="2" w:after="2" w:line="360" w:lineRule="atLeast"/>
                              <w:rPr>
                                <w:rFonts w:ascii="Georgia" w:hAnsi="Georgia"/>
                                <w:color w:val="333333"/>
                                <w:sz w:val="24"/>
                                <w:szCs w:val="24"/>
                              </w:rPr>
                            </w:pPr>
                          </w:p>
                          <w:p w14:paraId="3BC2800F" w14:textId="77777777" w:rsidR="00D4291A" w:rsidRDefault="00D4291A" w:rsidP="00D4291A">
                            <w:pPr>
                              <w:pStyle w:val="NormalWeb"/>
                              <w:spacing w:before="2" w:after="2" w:line="360" w:lineRule="atLeast"/>
                              <w:rPr>
                                <w:rFonts w:ascii="Georgia" w:hAnsi="Georgia"/>
                                <w:color w:val="333333"/>
                                <w:sz w:val="24"/>
                                <w:szCs w:val="24"/>
                              </w:rPr>
                            </w:pPr>
                            <w:r>
                              <w:rPr>
                                <w:rFonts w:ascii="Georgia" w:hAnsi="Georgia"/>
                                <w:color w:val="333333"/>
                                <w:sz w:val="24"/>
                                <w:szCs w:val="24"/>
                              </w:rPr>
                              <w:t>The bond issue will mature in 2016 and will pay annual interest (an “annual coupon”).  The bond will have a conversion feature that allows it to be converted into shares; an investor would presumably exercise the conversion right if the market price of FCA rises to an appropriate level at some future date.  If the market price does not increase suitably, then the bondholder would simply hold the bond without converting it into FCA stock.</w:t>
                            </w:r>
                          </w:p>
                          <w:p w14:paraId="568B6E7E" w14:textId="77777777" w:rsidR="00D4291A" w:rsidRDefault="00D4291A" w:rsidP="00D4291A">
                            <w:pPr>
                              <w:pStyle w:val="NormalWeb"/>
                              <w:spacing w:before="2" w:after="2" w:line="360" w:lineRule="atLeast"/>
                              <w:rPr>
                                <w:rFonts w:ascii="Georgia" w:hAnsi="Georgia"/>
                                <w:color w:val="333333"/>
                                <w:sz w:val="24"/>
                                <w:szCs w:val="24"/>
                              </w:rPr>
                            </w:pPr>
                          </w:p>
                          <w:p w14:paraId="2FB78549" w14:textId="77777777" w:rsidR="00D4291A" w:rsidRDefault="00D4291A" w:rsidP="00D4291A">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Questions</w:t>
                            </w:r>
                          </w:p>
                          <w:p w14:paraId="2E810016" w14:textId="77777777" w:rsidR="00D4291A" w:rsidRDefault="00D4291A" w:rsidP="00D4291A">
                            <w:pPr>
                              <w:numPr>
                                <w:ilvl w:val="0"/>
                                <w:numId w:val="13"/>
                              </w:numPr>
                              <w:spacing w:before="100" w:beforeAutospacing="1" w:after="100" w:afterAutospacing="1" w:line="360" w:lineRule="atLeast"/>
                              <w:rPr>
                                <w:rFonts w:ascii="Georgia" w:hAnsi="Georgia"/>
                                <w:color w:val="333333"/>
                                <w:sz w:val="24"/>
                                <w:szCs w:val="24"/>
                              </w:rPr>
                            </w:pPr>
                            <w:proofErr w:type="gramStart"/>
                            <w:r>
                              <w:rPr>
                                <w:rFonts w:ascii="Georgia" w:hAnsi="Georgia"/>
                                <w:color w:val="333333"/>
                                <w:sz w:val="24"/>
                                <w:szCs w:val="24"/>
                              </w:rPr>
                              <w:t>Is the convertible bond accounted for as liability or as equity by FCA</w:t>
                            </w:r>
                            <w:proofErr w:type="gramEnd"/>
                            <w:r>
                              <w:rPr>
                                <w:rFonts w:ascii="Georgia" w:hAnsi="Georgia"/>
                                <w:color w:val="333333"/>
                                <w:sz w:val="24"/>
                                <w:szCs w:val="24"/>
                              </w:rPr>
                              <w:t>? Why?</w:t>
                            </w:r>
                          </w:p>
                          <w:p w14:paraId="25ED192C" w14:textId="77777777" w:rsidR="00D4291A" w:rsidRDefault="00D4291A" w:rsidP="00D4291A">
                            <w:pPr>
                              <w:numPr>
                                <w:ilvl w:val="0"/>
                                <w:numId w:val="13"/>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How will the convertible bond issue affect FCA’s assets, liabilities, and equity?</w:t>
                            </w:r>
                          </w:p>
                          <w:p w14:paraId="13EB63E9" w14:textId="77777777" w:rsidR="00D4291A" w:rsidRDefault="00D4291A" w:rsidP="00D4291A">
                            <w:pPr>
                              <w:numPr>
                                <w:ilvl w:val="0"/>
                                <w:numId w:val="13"/>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Assume that investors opt to convert the bond into stock in late 2015. How will that conversion affect FCA’s assets, liabilities, and equity?</w:t>
                            </w:r>
                          </w:p>
                          <w:p w14:paraId="6BDEE147" w14:textId="77777777" w:rsidR="00652537" w:rsidRDefault="00652537" w:rsidP="005D4BFD">
                            <w:pPr>
                              <w:spacing w:beforeLines="1" w:before="2" w:afterLines="1" w:after="2" w:line="304"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35.95pt;margin-top:225pt;width:536.4pt;height:493.8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" filled="f" fillcolor="#5b9bd5" stroked="f" strokecolor="black [0]" strokeweight="2pt">
                <v:textbox inset="2.88pt,2.88pt,2.88pt,2.88pt">
                  <w:txbxContent>
                    <w:p w14:paraId="29ABB81A" w14:textId="77777777" w:rsidR="00D4291A" w:rsidRDefault="00D4291A" w:rsidP="00D4291A">
                      <w:pPr>
                        <w:pStyle w:val="NormalWeb"/>
                        <w:spacing w:before="2" w:after="2" w:line="360" w:lineRule="atLeast"/>
                        <w:rPr>
                          <w:rFonts w:ascii="Georgia" w:hAnsi="Georgia"/>
                          <w:color w:val="333333"/>
                          <w:sz w:val="24"/>
                          <w:szCs w:val="24"/>
                        </w:rPr>
                      </w:pPr>
                      <w:r>
                        <w:rPr>
                          <w:rFonts w:ascii="Georgia" w:hAnsi="Georgia"/>
                          <w:color w:val="333333"/>
                          <w:sz w:val="24"/>
                          <w:szCs w:val="24"/>
                        </w:rPr>
                        <w:t>Fiat Chrysler Automobiles (</w:t>
                      </w:r>
                      <w:hyperlink r:id="rId10" w:history="1">
                        <w:r>
                          <w:rPr>
                            <w:rStyle w:val="Hyperlink"/>
                            <w:rFonts w:ascii="Georgia" w:hAnsi="Georgia"/>
                            <w:sz w:val="24"/>
                            <w:szCs w:val="24"/>
                          </w:rPr>
                          <w:t>FCA</w:t>
                        </w:r>
                      </w:hyperlink>
                      <w:r>
                        <w:rPr>
                          <w:rFonts w:ascii="Georgia" w:hAnsi="Georgia"/>
                          <w:color w:val="333333"/>
                          <w:sz w:val="24"/>
                          <w:szCs w:val="24"/>
                        </w:rPr>
                        <w:t>) launched a $2.5 billion convertible bond issue in December 2014.  FCA will be using the funds generated from the bond issue to help to turn its Jeep, Maserati, and Alfa Romeo brands into global brands, competing directly against Volkswagen and BMW in the premium car market</w:t>
                      </w:r>
                      <w:bookmarkStart w:id="1" w:name="_GoBack"/>
                      <w:bookmarkEnd w:id="1"/>
                      <w:r>
                        <w:rPr>
                          <w:rFonts w:ascii="Georgia" w:hAnsi="Georgia"/>
                          <w:color w:val="333333"/>
                          <w:sz w:val="24"/>
                          <w:szCs w:val="24"/>
                        </w:rPr>
                        <w:t>.</w:t>
                      </w:r>
                    </w:p>
                    <w:p w14:paraId="48649A97" w14:textId="77777777" w:rsidR="00D4291A" w:rsidRDefault="00D4291A" w:rsidP="00D4291A">
                      <w:pPr>
                        <w:pStyle w:val="NormalWeb"/>
                        <w:spacing w:before="2" w:after="2" w:line="360" w:lineRule="atLeast"/>
                        <w:rPr>
                          <w:rFonts w:ascii="Georgia" w:hAnsi="Georgia"/>
                          <w:color w:val="333333"/>
                          <w:sz w:val="24"/>
                          <w:szCs w:val="24"/>
                        </w:rPr>
                      </w:pPr>
                    </w:p>
                    <w:p w14:paraId="3BC2800F" w14:textId="77777777" w:rsidR="00D4291A" w:rsidRDefault="00D4291A" w:rsidP="00D4291A">
                      <w:pPr>
                        <w:pStyle w:val="NormalWeb"/>
                        <w:spacing w:before="2" w:after="2" w:line="360" w:lineRule="atLeast"/>
                        <w:rPr>
                          <w:rFonts w:ascii="Georgia" w:hAnsi="Georgia"/>
                          <w:color w:val="333333"/>
                          <w:sz w:val="24"/>
                          <w:szCs w:val="24"/>
                        </w:rPr>
                      </w:pPr>
                      <w:r>
                        <w:rPr>
                          <w:rFonts w:ascii="Georgia" w:hAnsi="Georgia"/>
                          <w:color w:val="333333"/>
                          <w:sz w:val="24"/>
                          <w:szCs w:val="24"/>
                        </w:rPr>
                        <w:t>The bond issue will mature in 2016 and will pay annual interest (an “annual coupon”).  The bond will have a conversion feature that allows it to be converted into shares; an investor would presumably exercise the conversion right if the market price of FCA rises to an appropriate level at some future date.  If the market price does not increase suitably, then the bondholder would simply hold the bond without converting it into FCA stock.</w:t>
                      </w:r>
                    </w:p>
                    <w:p w14:paraId="568B6E7E" w14:textId="77777777" w:rsidR="00D4291A" w:rsidRDefault="00D4291A" w:rsidP="00D4291A">
                      <w:pPr>
                        <w:pStyle w:val="NormalWeb"/>
                        <w:spacing w:before="2" w:after="2" w:line="360" w:lineRule="atLeast"/>
                        <w:rPr>
                          <w:rFonts w:ascii="Georgia" w:hAnsi="Georgia"/>
                          <w:color w:val="333333"/>
                          <w:sz w:val="24"/>
                          <w:szCs w:val="24"/>
                        </w:rPr>
                      </w:pPr>
                    </w:p>
                    <w:p w14:paraId="2FB78549" w14:textId="77777777" w:rsidR="00D4291A" w:rsidRDefault="00D4291A" w:rsidP="00D4291A">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Questions</w:t>
                      </w:r>
                    </w:p>
                    <w:p w14:paraId="2E810016" w14:textId="77777777" w:rsidR="00D4291A" w:rsidRDefault="00D4291A" w:rsidP="00D4291A">
                      <w:pPr>
                        <w:numPr>
                          <w:ilvl w:val="0"/>
                          <w:numId w:val="13"/>
                        </w:numPr>
                        <w:spacing w:before="100" w:beforeAutospacing="1" w:after="100" w:afterAutospacing="1" w:line="360" w:lineRule="atLeast"/>
                        <w:rPr>
                          <w:rFonts w:ascii="Georgia" w:hAnsi="Georgia"/>
                          <w:color w:val="333333"/>
                          <w:sz w:val="24"/>
                          <w:szCs w:val="24"/>
                        </w:rPr>
                      </w:pPr>
                      <w:proofErr w:type="gramStart"/>
                      <w:r>
                        <w:rPr>
                          <w:rFonts w:ascii="Georgia" w:hAnsi="Georgia"/>
                          <w:color w:val="333333"/>
                          <w:sz w:val="24"/>
                          <w:szCs w:val="24"/>
                        </w:rPr>
                        <w:t>Is the convertible bond accounted for as liability or as equity by FCA</w:t>
                      </w:r>
                      <w:proofErr w:type="gramEnd"/>
                      <w:r>
                        <w:rPr>
                          <w:rFonts w:ascii="Georgia" w:hAnsi="Georgia"/>
                          <w:color w:val="333333"/>
                          <w:sz w:val="24"/>
                          <w:szCs w:val="24"/>
                        </w:rPr>
                        <w:t>? Why?</w:t>
                      </w:r>
                    </w:p>
                    <w:p w14:paraId="25ED192C" w14:textId="77777777" w:rsidR="00D4291A" w:rsidRDefault="00D4291A" w:rsidP="00D4291A">
                      <w:pPr>
                        <w:numPr>
                          <w:ilvl w:val="0"/>
                          <w:numId w:val="13"/>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How will the convertible bond issue affect FCA’s assets, liabilities, and equity?</w:t>
                      </w:r>
                    </w:p>
                    <w:p w14:paraId="13EB63E9" w14:textId="77777777" w:rsidR="00D4291A" w:rsidRDefault="00D4291A" w:rsidP="00D4291A">
                      <w:pPr>
                        <w:numPr>
                          <w:ilvl w:val="0"/>
                          <w:numId w:val="13"/>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Assume that investors opt to convert the bond into stock in late 2015. How will that conversion affect FCA’s assets, liabilities, and equity?</w:t>
                      </w:r>
                    </w:p>
                    <w:p w14:paraId="6BDEE147" w14:textId="77777777" w:rsidR="00652537" w:rsidRDefault="00652537" w:rsidP="005D4BFD">
                      <w:pPr>
                        <w:spacing w:beforeLines="1" w:before="2" w:afterLines="1" w:after="2" w:line="304" w:lineRule="atLeast"/>
                      </w:pPr>
                    </w:p>
                  </w:txbxContent>
                </v:textbox>
                <w10:wrap anchorx="margin" anchory="page"/>
              </v:shape>
            </w:pict>
          </mc:Fallback>
        </mc:AlternateContent>
      </w:r>
      <w:r w:rsidR="00161316">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7EF5E2D8" wp14:editId="6A2F3F73">
                <wp:simplePos x="0" y="0"/>
                <wp:positionH relativeFrom="margin">
                  <wp:posOffset>-457200</wp:posOffset>
                </wp:positionH>
                <wp:positionV relativeFrom="paragraph">
                  <wp:posOffset>920750</wp:posOffset>
                </wp:positionV>
                <wp:extent cx="6762115" cy="935990"/>
                <wp:effectExtent l="0" t="0" r="0" b="381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93599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A828E6C" w14:textId="5D5595DA" w:rsidR="00652537" w:rsidRDefault="00652537" w:rsidP="00161316">
                            <w:pPr>
                              <w:pStyle w:val="Heading1"/>
                              <w:shd w:val="clear" w:color="auto" w:fill="FEFEFE"/>
                              <w:spacing w:beforeLines="0" w:afterLines="0"/>
                              <w:textAlignment w:val="baseline"/>
                              <w:rPr>
                                <w:rFonts w:ascii="Courier New" w:hAnsi="Courier New" w:cs="Courier New"/>
                                <w:b w:val="0"/>
                                <w:bCs/>
                                <w:sz w:val="40"/>
                                <w:szCs w:val="40"/>
                              </w:rPr>
                            </w:pPr>
                            <w:r w:rsidRPr="00652537">
                              <w:rPr>
                                <w:rFonts w:ascii="Courier New" w:hAnsi="Courier New" w:cs="Courier New"/>
                                <w:bCs/>
                                <w:sz w:val="40"/>
                                <w:szCs w:val="40"/>
                              </w:rPr>
                              <w:t>How does a convertible bond issued by Fiat Chrysler Automobile affect the company’s balance sheet?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5.95pt;margin-top:72.5pt;width:532.45pt;height:73.7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" filled="f" fillcolor="#5b9bd5" stroked="f" strokecolor="black [0]" strokeweight="2pt">
                <v:textbox inset="2.88pt,2.88pt,2.88pt,2.88pt">
                  <w:txbxContent>
                    <w:p w14:paraId="4A828E6C" w14:textId="5D5595DA" w:rsidR="00652537" w:rsidRDefault="00652537" w:rsidP="00161316">
                      <w:pPr>
                        <w:pStyle w:val="Heading1"/>
                        <w:shd w:val="clear" w:color="auto" w:fill="FEFEFE"/>
                        <w:spacing w:beforeLines="0" w:afterLines="0"/>
                        <w:textAlignment w:val="baseline"/>
                        <w:rPr>
                          <w:rFonts w:ascii="Courier New" w:hAnsi="Courier New" w:cs="Courier New"/>
                          <w:b w:val="0"/>
                          <w:bCs/>
                          <w:sz w:val="40"/>
                          <w:szCs w:val="40"/>
                        </w:rPr>
                      </w:pPr>
                      <w:r w:rsidRPr="00652537">
                        <w:rPr>
                          <w:rFonts w:ascii="Courier New" w:hAnsi="Courier New" w:cs="Courier New"/>
                          <w:bCs/>
                          <w:sz w:val="40"/>
                          <w:szCs w:val="40"/>
                        </w:rPr>
                        <w:t>How does a convertible bond issued by Fiat Chrysler Automobile affect the company’s balance sheet?</w:t>
                      </w:r>
                    </w:p>
                  </w:txbxContent>
                </v:textbox>
                <w10:wrap anchorx="margin"/>
              </v:shape>
            </w:pict>
          </mc:Fallback>
        </mc:AlternateContent>
      </w:r>
      <w:r w:rsidR="0066315F">
        <w:rPr>
          <w:rFonts w:ascii="Times New Roman" w:hAnsi="Times New Roman"/>
          <w:noProof/>
          <w:sz w:val="24"/>
          <w:szCs w:val="24"/>
        </w:rPr>
        <w:drawing>
          <wp:anchor distT="36576" distB="36576" distL="36576" distR="36576" simplePos="0" relativeHeight="251659264" behindDoc="0" locked="0" layoutInCell="1" allowOverlap="1" wp14:anchorId="098726CB" wp14:editId="20E7E50F">
            <wp:simplePos x="0" y="0"/>
            <wp:positionH relativeFrom="column">
              <wp:posOffset>-434340</wp:posOffset>
            </wp:positionH>
            <wp:positionV relativeFrom="paragraph">
              <wp:posOffset>-389890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2"/>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BF220" w14:textId="77777777" w:rsidR="00652537" w:rsidRDefault="00652537" w:rsidP="0066315F">
      <w:pPr>
        <w:spacing w:after="0" w:line="240" w:lineRule="auto"/>
      </w:pPr>
      <w:r>
        <w:separator/>
      </w:r>
    </w:p>
  </w:endnote>
  <w:endnote w:type="continuationSeparator" w:id="0">
    <w:p w14:paraId="438B6D3F" w14:textId="77777777" w:rsidR="00652537" w:rsidRDefault="00652537"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5A06E" w14:textId="77777777" w:rsidR="00652537" w:rsidRDefault="00652537"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D4291A">
      <w:rPr>
        <w:b/>
        <w:bCs/>
        <w:i/>
        <w:iCs/>
        <w:noProof/>
        <w:kern w:val="24"/>
      </w:rPr>
      <w:t>1</w:t>
    </w:r>
    <w:r>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7AB8525B" w14:textId="77777777" w:rsidR="00652537" w:rsidRDefault="00652537"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proofErr w:type="gramStart"/>
    <w:r>
      <w:rPr>
        <w:i/>
        <w:iCs/>
      </w:rPr>
      <w:t xml:space="preserve"> .</w:t>
    </w:r>
    <w:proofErr w:type="gramEnd"/>
  </w:p>
  <w:p w14:paraId="0C3C6852" w14:textId="77777777" w:rsidR="00652537" w:rsidRDefault="00652537" w:rsidP="0066315F">
    <w:pPr>
      <w:widowControl w:val="0"/>
    </w:pPr>
    <w:r>
      <w:t> </w:t>
    </w:r>
  </w:p>
  <w:p w14:paraId="047ABDA0" w14:textId="77777777" w:rsidR="00652537" w:rsidRDefault="00652537">
    <w:pPr>
      <w:pStyle w:val="Footer"/>
    </w:pPr>
  </w:p>
  <w:p w14:paraId="73C96090" w14:textId="77777777" w:rsidR="00652537" w:rsidRDefault="0065253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B2379" w14:textId="77777777" w:rsidR="00652537" w:rsidRDefault="00652537" w:rsidP="0066315F">
      <w:pPr>
        <w:spacing w:after="0" w:line="240" w:lineRule="auto"/>
      </w:pPr>
      <w:r>
        <w:separator/>
      </w:r>
    </w:p>
  </w:footnote>
  <w:footnote w:type="continuationSeparator" w:id="0">
    <w:p w14:paraId="76863F9C" w14:textId="77777777" w:rsidR="00652537" w:rsidRDefault="00652537"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C4860"/>
    <w:multiLevelType w:val="multilevel"/>
    <w:tmpl w:val="954E6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EF2A72"/>
    <w:multiLevelType w:val="multilevel"/>
    <w:tmpl w:val="1DCC6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21706EA"/>
    <w:multiLevelType w:val="multilevel"/>
    <w:tmpl w:val="D598D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32A41CE"/>
    <w:multiLevelType w:val="multilevel"/>
    <w:tmpl w:val="58FC54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82701F4"/>
    <w:multiLevelType w:val="multilevel"/>
    <w:tmpl w:val="2402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7073FED"/>
    <w:multiLevelType w:val="multilevel"/>
    <w:tmpl w:val="473AF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8"/>
  </w:num>
  <w:num w:numId="3">
    <w:abstractNumId w:val="1"/>
  </w:num>
  <w:num w:numId="4">
    <w:abstractNumId w:val="2"/>
  </w:num>
  <w:num w:numId="5">
    <w:abstractNumId w:val="9"/>
  </w:num>
  <w:num w:numId="6">
    <w:abstractNumId w:val="7"/>
  </w:num>
  <w:num w:numId="7">
    <w:abstractNumId w:val="12"/>
  </w:num>
  <w:num w:numId="8">
    <w:abstractNumId w:val="5"/>
  </w:num>
  <w:num w:numId="9">
    <w:abstractNumId w:val="4"/>
  </w:num>
  <w:num w:numId="10">
    <w:abstractNumId w:val="6"/>
  </w:num>
  <w:num w:numId="11">
    <w:abstractNumId w:val="3"/>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161316"/>
    <w:rsid w:val="001820FE"/>
    <w:rsid w:val="001E6EA2"/>
    <w:rsid w:val="00263346"/>
    <w:rsid w:val="0027452A"/>
    <w:rsid w:val="002A56BD"/>
    <w:rsid w:val="003336CA"/>
    <w:rsid w:val="00333861"/>
    <w:rsid w:val="003844BC"/>
    <w:rsid w:val="004270EF"/>
    <w:rsid w:val="00433B1C"/>
    <w:rsid w:val="0050711E"/>
    <w:rsid w:val="005D4BFD"/>
    <w:rsid w:val="00612875"/>
    <w:rsid w:val="00652537"/>
    <w:rsid w:val="00654393"/>
    <w:rsid w:val="0066315F"/>
    <w:rsid w:val="006A2F9B"/>
    <w:rsid w:val="006E4DFE"/>
    <w:rsid w:val="0072269C"/>
    <w:rsid w:val="007A4D6B"/>
    <w:rsid w:val="007B5C98"/>
    <w:rsid w:val="00894D30"/>
    <w:rsid w:val="00895DC3"/>
    <w:rsid w:val="008C57C9"/>
    <w:rsid w:val="008D2345"/>
    <w:rsid w:val="00944CF5"/>
    <w:rsid w:val="00A02EB1"/>
    <w:rsid w:val="00A0529E"/>
    <w:rsid w:val="00A0758E"/>
    <w:rsid w:val="00AF5BB5"/>
    <w:rsid w:val="00C27312"/>
    <w:rsid w:val="00D0619E"/>
    <w:rsid w:val="00D4291A"/>
    <w:rsid w:val="00D95E78"/>
    <w:rsid w:val="00E93596"/>
    <w:rsid w:val="00ED0F41"/>
    <w:rsid w:val="00F15D9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05C6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821628126">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174340589">
      <w:bodyDiv w:val="1"/>
      <w:marLeft w:val="0"/>
      <w:marRight w:val="0"/>
      <w:marTop w:val="0"/>
      <w:marBottom w:val="0"/>
      <w:divBdr>
        <w:top w:val="none" w:sz="0" w:space="0" w:color="auto"/>
        <w:left w:val="none" w:sz="0" w:space="0" w:color="auto"/>
        <w:bottom w:val="none" w:sz="0" w:space="0" w:color="auto"/>
        <w:right w:val="none" w:sz="0" w:space="0" w:color="auto"/>
      </w:divBdr>
    </w:div>
    <w:div w:id="1400053345">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626693915">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709842842">
      <w:bodyDiv w:val="1"/>
      <w:marLeft w:val="0"/>
      <w:marRight w:val="0"/>
      <w:marTop w:val="0"/>
      <w:marBottom w:val="0"/>
      <w:divBdr>
        <w:top w:val="none" w:sz="0" w:space="0" w:color="auto"/>
        <w:left w:val="none" w:sz="0" w:space="0" w:color="auto"/>
        <w:bottom w:val="none" w:sz="0" w:space="0" w:color="auto"/>
        <w:right w:val="none" w:sz="0" w:space="0" w:color="auto"/>
      </w:divBdr>
    </w:div>
    <w:div w:id="178803983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fcagroup.com/en-US/Pages/home.aspx" TargetMode="External"/><Relationship Id="rId10" Type="http://schemas.openxmlformats.org/officeDocument/2006/relationships/hyperlink" Target="http://www.fcagroup.com/en-US/Pages/home.aspx"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5DC5F2-32C5-6145-A27A-2E3A3ADF9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2</cp:revision>
  <cp:lastPrinted>2015-01-07T02:23:00Z</cp:lastPrinted>
  <dcterms:created xsi:type="dcterms:W3CDTF">2015-01-07T02:27:00Z</dcterms:created>
  <dcterms:modified xsi:type="dcterms:W3CDTF">2015-01-07T02:27:00Z</dcterms:modified>
</cp:coreProperties>
</file>